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407"/>
        <w:gridCol w:w="91"/>
        <w:gridCol w:w="1096"/>
        <w:gridCol w:w="569"/>
        <w:gridCol w:w="361"/>
        <w:gridCol w:w="242"/>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highlight w:val="none"/>
                <w:u w:val="none"/>
              </w:rPr>
            </w:pPr>
            <w:r>
              <w:rPr>
                <w:rFonts w:hint="eastAsia" w:ascii="仿宋_GB2312" w:hAnsi="宋体" w:eastAsia="仿宋_GB2312"/>
                <w:color w:val="auto"/>
                <w:kern w:val="0"/>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名称</w:t>
            </w:r>
          </w:p>
        </w:tc>
        <w:tc>
          <w:tcPr>
            <w:tcW w:w="7549"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rPr>
              <w:t>　</w:t>
            </w:r>
            <w:r>
              <w:rPr>
                <w:rFonts w:hint="eastAsia" w:ascii="仿宋_GB2312" w:hAnsi="宋体" w:eastAsia="仿宋_GB2312"/>
                <w:color w:val="auto"/>
                <w:kern w:val="0"/>
                <w:highlight w:val="none"/>
                <w:u w:val="none"/>
                <w:lang w:eastAsia="zh-CN"/>
              </w:rPr>
              <w:t>鄂州市卫生健康委员会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填报人</w:t>
            </w:r>
          </w:p>
        </w:tc>
        <w:tc>
          <w:tcPr>
            <w:tcW w:w="22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eastAsia="zh-CN"/>
              </w:rPr>
            </w:pPr>
            <w:r>
              <w:rPr>
                <w:rFonts w:hint="eastAsia" w:ascii="仿宋_GB2312" w:hAnsi="宋体" w:eastAsia="仿宋_GB2312"/>
                <w:color w:val="auto"/>
                <w:kern w:val="0"/>
                <w:highlight w:val="none"/>
                <w:u w:val="none"/>
              </w:rPr>
              <w:t>　</w:t>
            </w:r>
            <w:r>
              <w:rPr>
                <w:rFonts w:hint="eastAsia" w:ascii="仿宋_GB2312" w:hAnsi="宋体" w:eastAsia="仿宋_GB2312"/>
                <w:color w:val="auto"/>
                <w:kern w:val="0"/>
                <w:highlight w:val="none"/>
                <w:u w:val="none"/>
                <w:lang w:eastAsia="zh-CN"/>
              </w:rPr>
              <w:t>李海睿</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联系电话</w:t>
            </w:r>
          </w:p>
        </w:tc>
        <w:tc>
          <w:tcPr>
            <w:tcW w:w="41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027-60660806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资金情况</w:t>
            </w:r>
          </w:p>
        </w:tc>
        <w:tc>
          <w:tcPr>
            <w:tcW w:w="344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3446"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959"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2022</w:t>
            </w:r>
            <w:r>
              <w:rPr>
                <w:rFonts w:hint="eastAsia" w:ascii="仿宋_GB2312" w:hAnsi="宋体" w:eastAsia="仿宋_GB2312"/>
                <w:color w:val="auto"/>
                <w:kern w:val="0"/>
                <w:highlight w:val="none"/>
                <w:u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2023</w:t>
            </w:r>
            <w:r>
              <w:rPr>
                <w:rFonts w:hint="eastAsia" w:ascii="仿宋_GB2312" w:hAnsi="宋体" w:eastAsia="仿宋_GB2312"/>
                <w:color w:val="auto"/>
                <w:kern w:val="0"/>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color w:val="auto"/>
                <w:highlight w:val="none"/>
                <w:u w:val="none"/>
                <w:lang w:val="en-US" w:eastAsia="zh-CN"/>
              </w:rPr>
              <w:t>132925.69</w:t>
            </w:r>
            <w:r>
              <w:rPr>
                <w:rFonts w:hint="eastAsia" w:ascii="仿宋_GB2312" w:hAnsi="宋体" w:eastAsia="仿宋_GB2312"/>
                <w:color w:val="auto"/>
                <w:kern w:val="0"/>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rPr>
            </w:pPr>
            <w:r>
              <w:rPr>
                <w:rFonts w:hint="eastAsia" w:ascii="仿宋_GB2312" w:hAnsi="宋体" w:eastAsia="仿宋_GB2312"/>
                <w:color w:val="auto"/>
                <w:kern w:val="0"/>
                <w:highlight w:val="none"/>
                <w:u w:val="none"/>
                <w:lang w:val="en-US" w:eastAsia="zh-CN"/>
              </w:rPr>
              <w:t>53315</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83696</w:t>
            </w:r>
            <w:r>
              <w:rPr>
                <w:rFonts w:hint="eastAsia" w:ascii="仿宋_GB2312" w:hAnsi="宋体" w:eastAsia="仿宋_GB2312"/>
                <w:color w:val="auto"/>
                <w:kern w:val="0"/>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0</w:t>
            </w:r>
            <w:r>
              <w:rPr>
                <w:rFonts w:hint="eastAsia" w:ascii="仿宋_GB2312" w:hAnsi="宋体" w:eastAsia="仿宋_GB2312"/>
                <w:color w:val="auto"/>
                <w:kern w:val="0"/>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113625</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140839</w:t>
            </w:r>
            <w:r>
              <w:rPr>
                <w:rFonts w:hint="eastAsia" w:ascii="仿宋_GB2312" w:hAnsi="宋体" w:eastAsia="仿宋_GB2312"/>
                <w:color w:val="auto"/>
                <w:kern w:val="0"/>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color w:val="auto"/>
                <w:highlight w:val="none"/>
                <w:u w:val="none"/>
                <w:lang w:val="en-US" w:eastAsia="zh-CN"/>
              </w:rPr>
              <w:t>132925.69</w:t>
            </w:r>
            <w:r>
              <w:rPr>
                <w:rFonts w:hint="eastAsia" w:ascii="仿宋_GB2312" w:hAnsi="宋体" w:eastAsia="仿宋_GB2312"/>
                <w:color w:val="auto"/>
                <w:kern w:val="0"/>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166940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224635</w:t>
            </w:r>
            <w:r>
              <w:rPr>
                <w:rFonts w:hint="eastAsia" w:ascii="仿宋_GB2312" w:hAnsi="宋体" w:eastAsia="仿宋_GB2312"/>
                <w:color w:val="auto"/>
                <w:kern w:val="0"/>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color w:val="auto"/>
                <w:highlight w:val="none"/>
                <w:u w:val="none"/>
                <w:lang w:val="en-US" w:eastAsia="zh-CN"/>
              </w:rPr>
              <w:t>3772.14</w:t>
            </w:r>
            <w:r>
              <w:rPr>
                <w:rFonts w:hint="eastAsia" w:ascii="仿宋_GB2312" w:hAnsi="宋体" w:eastAsia="仿宋_GB2312"/>
                <w:color w:val="auto"/>
                <w:kern w:val="0"/>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2.83%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52724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w:t>
            </w:r>
            <w:r>
              <w:rPr>
                <w:rFonts w:hint="eastAsia" w:ascii="仿宋_GB2312" w:hAnsi="宋体" w:eastAsia="仿宋_GB2312"/>
                <w:color w:val="auto"/>
                <w:kern w:val="0"/>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509.42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0.38%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74498</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128644.13</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96.79%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39717</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852"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ascii="仿宋_GB2312" w:hAnsi="宋体" w:eastAsia="仿宋_GB2312"/>
                <w:color w:val="auto"/>
                <w:kern w:val="0"/>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132925.69</w:t>
            </w:r>
            <w:r>
              <w:rPr>
                <w:rFonts w:hint="eastAsia" w:ascii="仿宋_GB2312" w:hAnsi="宋体" w:eastAsia="仿宋_GB2312"/>
                <w:color w:val="auto"/>
                <w:kern w:val="0"/>
                <w:highlight w:val="none"/>
                <w:u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166340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224635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部门职能概述</w:t>
            </w:r>
          </w:p>
        </w:tc>
        <w:tc>
          <w:tcPr>
            <w:tcW w:w="7549"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highlight w:val="none"/>
                <w:u w:val="none"/>
              </w:rPr>
            </w:pPr>
            <w:r>
              <w:rPr>
                <w:rFonts w:hint="eastAsia" w:ascii="仿宋_GB2312" w:hAnsi="仿宋_GB2312" w:eastAsia="仿宋_GB2312" w:cs="仿宋_GB2312"/>
                <w:color w:val="auto"/>
                <w:kern w:val="0"/>
                <w:highlight w:val="none"/>
                <w:u w:val="none"/>
              </w:rPr>
              <w:t> </w:t>
            </w:r>
            <w:r>
              <w:rPr>
                <w:rFonts w:hint="eastAsia" w:ascii="仿宋_GB2312" w:hAnsi="仿宋_GB2312" w:eastAsia="仿宋_GB2312" w:cs="仿宋_GB2312"/>
                <w:color w:val="auto"/>
                <w:kern w:val="0"/>
                <w:highlight w:val="none"/>
                <w:u w:val="none"/>
                <w:lang w:val="en-US" w:eastAsia="zh-CN"/>
              </w:rPr>
              <w:t xml:space="preserve"> </w:t>
            </w:r>
            <w:r>
              <w:rPr>
                <w:rFonts w:hint="eastAsia" w:ascii="仿宋_GB2312" w:hAnsi="仿宋_GB2312" w:eastAsia="仿宋_GB2312" w:cs="仿宋_GB2312"/>
                <w:color w:val="auto"/>
                <w:kern w:val="0"/>
                <w:highlight w:val="none"/>
                <w:u w:val="none"/>
              </w:rPr>
              <w:t>1.</w:t>
            </w:r>
            <w:r>
              <w:rPr>
                <w:rFonts w:hint="eastAsia" w:ascii="仿宋_GB2312" w:hAnsi="仿宋_GB2312" w:eastAsia="仿宋_GB2312" w:cs="仿宋_GB2312"/>
                <w:color w:val="auto"/>
                <w:highlight w:val="none"/>
                <w:u w:val="none"/>
              </w:rPr>
              <w:t>贯彻落实国民健康政策，拟订卫生健康事业发展的政策措施、规划，制定地方标准和技术规范并组织实施</w:t>
            </w:r>
            <w:r>
              <w:rPr>
                <w:rFonts w:hint="eastAsia" w:ascii="仿宋_GB2312" w:hAnsi="仿宋_GB2312" w:eastAsia="仿宋_GB2312" w:cs="仿宋_GB2312"/>
                <w:color w:val="auto"/>
                <w:kern w:val="0"/>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highlight w:val="none"/>
                <w:u w:val="none"/>
              </w:rPr>
            </w:pPr>
            <w:r>
              <w:rPr>
                <w:rFonts w:hint="eastAsia" w:ascii="仿宋_GB2312" w:hAnsi="仿宋_GB2312" w:eastAsia="仿宋_GB2312" w:cs="仿宋_GB2312"/>
                <w:color w:val="auto"/>
                <w:kern w:val="0"/>
                <w:highlight w:val="none"/>
                <w:u w:val="none"/>
              </w:rPr>
              <w:t xml:space="preserve"> 2.</w:t>
            </w:r>
            <w:r>
              <w:rPr>
                <w:rFonts w:hint="eastAsia" w:ascii="仿宋_GB2312" w:hAnsi="仿宋_GB2312" w:eastAsia="仿宋_GB2312" w:cs="仿宋_GB2312"/>
                <w:color w:val="auto"/>
                <w:highlight w:val="none"/>
                <w:u w:val="none"/>
              </w:rPr>
              <w:t>协调推进深化医药卫生体制改革，研究提出深化医药卫生体制改革重大政策、任务、措施的建议</w:t>
            </w:r>
            <w:r>
              <w:rPr>
                <w:rFonts w:hint="eastAsia" w:ascii="仿宋_GB2312" w:hAnsi="仿宋_GB2312" w:eastAsia="仿宋_GB2312" w:cs="仿宋_GB2312"/>
                <w:color w:val="auto"/>
                <w:kern w:val="0"/>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kern w:val="0"/>
                <w:highlight w:val="none"/>
                <w:u w:val="none"/>
              </w:rPr>
              <w:t xml:space="preserve"> 3.</w:t>
            </w:r>
            <w:r>
              <w:rPr>
                <w:rFonts w:hint="eastAsia" w:ascii="仿宋_GB2312" w:hAnsi="仿宋_GB2312" w:eastAsia="仿宋_GB2312" w:cs="仿宋_GB2312"/>
                <w:color w:val="auto"/>
                <w:highlight w:val="none"/>
                <w:u w:val="none"/>
              </w:rPr>
              <w:t>组织实施国家免疫规划，制定并落实全市疾病预防控制规划以及严重危害人民健康公共卫生问题的干预措施，组织开展传染病监测</w:t>
            </w:r>
            <w:r>
              <w:rPr>
                <w:rFonts w:hint="eastAsia" w:ascii="仿宋_GB2312" w:hAnsi="仿宋_GB2312" w:eastAsia="仿宋_GB2312" w:cs="仿宋_GB2312"/>
                <w:color w:val="auto"/>
                <w:kern w:val="0"/>
                <w:highlight w:val="none"/>
                <w:u w:val="none"/>
              </w:rPr>
              <w:t>；</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4.</w:t>
            </w:r>
            <w:r>
              <w:rPr>
                <w:rFonts w:hint="eastAsia" w:ascii="仿宋_GB2312" w:hAnsi="仿宋_GB2312" w:eastAsia="仿宋_GB2312" w:cs="仿宋_GB2312"/>
                <w:color w:val="auto"/>
                <w:highlight w:val="none"/>
                <w:u w:val="none"/>
              </w:rPr>
              <w:t>组织拟订并协调落实应对人口老龄化、医养结合政策措施，承担老年疾病防治、医疗照护、老年人心理健康与关怀服务等老年健康工作</w:t>
            </w:r>
            <w:r>
              <w:rPr>
                <w:rFonts w:hint="eastAsia" w:ascii="仿宋_GB2312" w:hAnsi="仿宋_GB2312" w:eastAsia="仿宋_GB2312" w:cs="仿宋_GB2312"/>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5.</w:t>
            </w:r>
            <w:r>
              <w:rPr>
                <w:rFonts w:hint="eastAsia" w:ascii="仿宋_GB2312" w:hAnsi="仿宋_GB2312" w:eastAsia="仿宋_GB2312" w:cs="仿宋_GB2312"/>
                <w:color w:val="auto"/>
                <w:highlight w:val="none"/>
                <w:u w:val="none"/>
              </w:rPr>
              <w:t>贯彻落实国家药物政策和国家基本药物制度，开展药品使用监测、临床综合评价和短缺药品预警，提出符合全市实际的国家基本药物价格政策的建议，执行国家药典。 组织开展食品安全风险监测评估</w:t>
            </w:r>
            <w:r>
              <w:rPr>
                <w:rFonts w:hint="eastAsia" w:ascii="仿宋_GB2312" w:hAnsi="仿宋_GB2312" w:eastAsia="仿宋_GB2312" w:cs="仿宋_GB2312"/>
                <w:color w:val="auto"/>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6.</w:t>
            </w:r>
            <w:r>
              <w:rPr>
                <w:rFonts w:hint="eastAsia" w:ascii="仿宋_GB2312" w:hAnsi="仿宋_GB2312" w:eastAsia="仿宋_GB2312" w:cs="仿宋_GB2312"/>
                <w:color w:val="auto"/>
                <w:highlight w:val="none"/>
                <w:u w:val="none"/>
              </w:rPr>
              <w:t>负责职责范围内的职业卫生、放射卫生、环境卫生、学校卫生、公共场所卫生、饮用水卫生等公共卫生的监督管理，负责传染病防治监督，健全卫生健康综合监督体系</w:t>
            </w:r>
            <w:r>
              <w:rPr>
                <w:rFonts w:hint="eastAsia" w:ascii="仿宋_GB2312" w:hAnsi="仿宋_GB2312" w:eastAsia="仿宋_GB2312" w:cs="仿宋_GB2312"/>
                <w:color w:val="auto"/>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7.监督实施全市医疗机构、医疗服务行业管理办法，加强行风建设，建立医疗服务评价和监督管理体系。会同有关部门贯彻执行国家卫生健康专业技术人员资格标准。 制定并组织实施医疗服务规范、标准和卫生健康专业技术人员执业规则、服务规范。</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8.负责计划生育管理和服务工作，开展人口监测预警，研究提出人口与家庭发展相关政策建议，完善计划生育政策措施。</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9.指导全市卫生健康工作，指导基层医疗卫生、妇幼健康服务体系和全科医生队伍建设。推进卫生健康科技创新发展。</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10.负责市保健对象的医疗保健工作，承担市委、市政府重要会议与重大活动的医疗卫生保障工作。</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11.制定实施全市中医药发展规划，促进全市中医药事业发展，推动全市中医药标准化和现代化。组织开展全市中医药人才培养、师承教育工作，推广中医药科技成果和适宜技术，传承和发展中医药文化。组织开展全市中药资源普查。加强中医药行业监管。</w:t>
            </w:r>
          </w:p>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ascii="仿宋_GB2312" w:hAnsi="宋体" w:eastAsia="仿宋_GB2312"/>
                <w:color w:val="auto"/>
                <w:kern w:val="0"/>
                <w:highlight w:val="none"/>
                <w:u w:val="none"/>
              </w:rPr>
            </w:pPr>
            <w:r>
              <w:rPr>
                <w:rFonts w:hint="eastAsia" w:ascii="仿宋_GB2312" w:hAnsi="仿宋_GB2312" w:eastAsia="仿宋_GB2312" w:cs="仿宋_GB2312"/>
                <w:color w:val="auto"/>
                <w:highlight w:val="none"/>
                <w:u w:val="none"/>
                <w:lang w:val="en-US" w:eastAsia="zh-CN"/>
              </w:rPr>
              <w:t>12.完成上级交办的其他任务。</w:t>
            </w:r>
            <w:r>
              <w:rPr>
                <w:rFonts w:hint="eastAsia" w:ascii="仿宋_GB2312" w:hAnsi="仿宋_GB2312" w:eastAsia="仿宋_GB2312" w:cs="仿宋_GB2312"/>
                <w:color w:val="auto"/>
                <w:kern w:val="0"/>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年度工作任务</w:t>
            </w:r>
          </w:p>
        </w:tc>
        <w:tc>
          <w:tcPr>
            <w:tcW w:w="7549"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textAlignment w:val="auto"/>
              <w:rPr>
                <w:rFonts w:ascii="仿宋_GB2312" w:hAnsi="宋体" w:eastAsia="仿宋_GB2312"/>
                <w:color w:val="auto"/>
                <w:kern w:val="0"/>
                <w:highlight w:val="none"/>
                <w:u w:val="none"/>
              </w:rPr>
            </w:pPr>
            <w:r>
              <w:rPr>
                <w:rFonts w:hint="eastAsia" w:ascii="仿宋_GB2312" w:hAnsi="仿宋_GB2312" w:eastAsia="仿宋_GB2312" w:cs="仿宋_GB2312"/>
                <w:color w:val="auto"/>
                <w:kern w:val="0"/>
                <w:highlight w:val="none"/>
                <w:u w:val="none"/>
              </w:rPr>
              <w:t>1.</w:t>
            </w:r>
            <w:r>
              <w:rPr>
                <w:rFonts w:hint="eastAsia" w:ascii="仿宋_GB2312" w:hAnsi="仿宋_GB2312" w:eastAsia="仿宋_GB2312" w:cs="仿宋_GB2312"/>
                <w:color w:val="auto"/>
                <w:kern w:val="0"/>
                <w:highlight w:val="none"/>
                <w:u w:val="none"/>
                <w:lang w:val="en-US" w:eastAsia="zh-CN"/>
              </w:rPr>
              <w:t>深化党风廉政建设，筑牢全面从严治党“责任墙”；</w:t>
            </w:r>
            <w:r>
              <w:rPr>
                <w:rFonts w:hint="eastAsia" w:ascii="仿宋_GB2312" w:hAnsi="仿宋_GB2312" w:eastAsia="仿宋_GB2312" w:cs="仿宋_GB2312"/>
                <w:color w:val="auto"/>
                <w:kern w:val="0"/>
                <w:highlight w:val="none"/>
                <w:u w:val="none"/>
              </w:rPr>
              <w:t>2.聚焦空间布局，科学谋划发展规划落实</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3.</w:t>
            </w:r>
            <w:r>
              <w:rPr>
                <w:rFonts w:hint="eastAsia" w:ascii="仿宋_GB2312" w:hAnsi="仿宋_GB2312" w:eastAsia="仿宋_GB2312" w:cs="仿宋_GB2312"/>
                <w:color w:val="auto"/>
                <w:kern w:val="0"/>
                <w:highlight w:val="none"/>
                <w:u w:val="none"/>
              </w:rPr>
              <w:t>引进高端资源，助推医疗服务强势发展</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4.</w:t>
            </w:r>
            <w:r>
              <w:rPr>
                <w:rFonts w:hint="eastAsia" w:ascii="仿宋_GB2312" w:hAnsi="仿宋_GB2312" w:eastAsia="仿宋_GB2312" w:cs="仿宋_GB2312"/>
                <w:color w:val="auto"/>
                <w:kern w:val="0"/>
                <w:highlight w:val="none"/>
                <w:u w:val="none"/>
              </w:rPr>
              <w:t>完善基层医疗卫生服务体系，打造高水平健康守门人</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5.</w:t>
            </w:r>
            <w:r>
              <w:rPr>
                <w:rFonts w:hint="eastAsia" w:ascii="仿宋_GB2312" w:hAnsi="仿宋_GB2312" w:eastAsia="仿宋_GB2312" w:cs="仿宋_GB2312"/>
                <w:color w:val="auto"/>
                <w:kern w:val="0"/>
                <w:highlight w:val="none"/>
                <w:u w:val="none"/>
              </w:rPr>
              <w:t>健全公共卫生体系，织密织牢公卫防护网</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6.</w:t>
            </w:r>
            <w:r>
              <w:rPr>
                <w:rFonts w:hint="eastAsia" w:ascii="仿宋_GB2312" w:hAnsi="仿宋_GB2312" w:eastAsia="仿宋_GB2312" w:cs="仿宋_GB2312"/>
                <w:color w:val="auto"/>
                <w:kern w:val="0"/>
                <w:highlight w:val="none"/>
                <w:u w:val="none"/>
              </w:rPr>
              <w:t>化医疗卫生服务质量与效率，提升公共服务满意度。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b/>
                <w:bCs/>
                <w:color w:val="auto"/>
                <w:kern w:val="0"/>
                <w:highlight w:val="none"/>
                <w:u w:val="none"/>
              </w:rPr>
            </w:pPr>
            <w:r>
              <w:rPr>
                <w:rFonts w:hint="eastAsia" w:ascii="仿宋_GB2312" w:hAnsi="宋体" w:eastAsia="仿宋_GB2312" w:cs="仿宋_GB2312"/>
                <w:b/>
                <w:bCs/>
                <w:color w:val="auto"/>
                <w:kern w:val="0"/>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b/>
                <w:bCs/>
                <w:color w:val="auto"/>
                <w:kern w:val="0"/>
                <w:highlight w:val="none"/>
                <w:u w:val="none"/>
              </w:rPr>
            </w:pPr>
            <w:r>
              <w:rPr>
                <w:rFonts w:ascii="仿宋_GB2312" w:hAnsi="宋体" w:eastAsia="仿宋_GB2312" w:cs="仿宋_GB2312"/>
                <w:color w:val="auto"/>
                <w:kern w:val="0"/>
                <w:highlight w:val="none"/>
                <w:u w:val="none"/>
              </w:rPr>
              <w:t>（</w:t>
            </w:r>
            <w:r>
              <w:rPr>
                <w:rFonts w:hint="eastAsia" w:ascii="仿宋_GB2312" w:hAnsi="宋体" w:eastAsia="仿宋_GB2312" w:cs="仿宋_GB2312"/>
                <w:color w:val="auto"/>
                <w:kern w:val="0"/>
                <w:highlight w:val="none"/>
                <w:u w:val="none"/>
              </w:rPr>
              <w:t>截止</w:t>
            </w:r>
            <w:r>
              <w:rPr>
                <w:rFonts w:hint="eastAsia" w:ascii="仿宋_GB2312" w:hAnsi="宋体" w:eastAsia="仿宋_GB2312" w:cs="仿宋_GB2312"/>
                <w:color w:val="auto"/>
                <w:kern w:val="0"/>
                <w:highlight w:val="none"/>
                <w:u w:val="none"/>
                <w:lang w:val="en-US" w:eastAsia="zh-CN"/>
              </w:rPr>
              <w:t>2024</w:t>
            </w:r>
            <w:r>
              <w:rPr>
                <w:rFonts w:hint="eastAsia" w:ascii="仿宋_GB2312" w:hAnsi="宋体" w:eastAsia="仿宋_GB2312" w:cs="仿宋_GB2312"/>
                <w:color w:val="auto"/>
                <w:kern w:val="0"/>
                <w:highlight w:val="none"/>
                <w:u w:val="none"/>
              </w:rPr>
              <w:t>年）</w:t>
            </w:r>
          </w:p>
        </w:tc>
        <w:tc>
          <w:tcPr>
            <w:tcW w:w="7549"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宋体" w:eastAsia="仿宋_GB2312"/>
                <w:color w:val="auto"/>
                <w:kern w:val="0"/>
                <w:highlight w:val="none"/>
                <w:u w:val="none"/>
                <w:lang w:eastAsia="zh-CN"/>
              </w:rPr>
            </w:pPr>
            <w:r>
              <w:rPr>
                <w:rFonts w:hint="eastAsia" w:ascii="仿宋_GB2312" w:hAnsi="宋体" w:eastAsia="仿宋_GB2312" w:cs="仿宋_GB2312"/>
                <w:color w:val="auto"/>
                <w:kern w:val="0"/>
                <w:highlight w:val="none"/>
                <w:u w:val="none"/>
              </w:rPr>
              <w:t>　</w:t>
            </w:r>
            <w:r>
              <w:rPr>
                <w:rFonts w:hint="eastAsia" w:ascii="仿宋_GB2312" w:hAnsi="宋体" w:eastAsia="仿宋_GB2312" w:cs="仿宋_GB2312"/>
                <w:color w:val="auto"/>
                <w:kern w:val="0"/>
                <w:highlight w:val="none"/>
                <w:u w:val="none"/>
                <w:lang w:eastAsia="zh-CN"/>
              </w:rPr>
              <w:t>不断推进卫生健康事业高质量发展，保障人民群众生命健康。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效指标</w:t>
            </w:r>
          </w:p>
        </w:tc>
        <w:tc>
          <w:tcPr>
            <w:tcW w:w="82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指标</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二级指标</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三级指标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指标值</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指标值确定依据</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lang w:eastAsia="zh-CN"/>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在职</w:t>
            </w:r>
            <w:r>
              <w:rPr>
                <w:rFonts w:hint="eastAsia" w:ascii="仿宋_GB2312" w:hAnsi="宋体" w:eastAsia="仿宋_GB2312"/>
                <w:color w:val="auto"/>
                <w:kern w:val="0"/>
                <w:highlight w:val="none"/>
                <w:u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bookmarkStart w:id="0" w:name="_GoBack"/>
            <w:bookmarkEnd w:id="0"/>
            <w:r>
              <w:rPr>
                <w:rFonts w:hint="eastAsia" w:ascii="仿宋_GB2312" w:hAnsi="宋体" w:eastAsia="仿宋_GB2312" w:cs="仿宋_GB2312"/>
                <w:color w:val="auto"/>
                <w:kern w:val="0"/>
                <w:highlight w:val="none"/>
                <w:u w:val="none"/>
                <w:lang w:eastAsia="zh-CN"/>
              </w:rPr>
              <w:t>“三公”经费</w:t>
            </w:r>
            <w:r>
              <w:rPr>
                <w:rFonts w:hint="eastAsia" w:ascii="仿宋_GB2312" w:hAnsi="宋体" w:eastAsia="仿宋_GB2312" w:cs="仿宋_GB2312"/>
                <w:color w:val="auto"/>
                <w:kern w:val="0"/>
                <w:highlight w:val="none"/>
                <w:u w:val="none"/>
              </w:rPr>
              <w:t>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中长期规划相符性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FF0000"/>
                <w:kern w:val="0"/>
                <w:highlight w:val="none"/>
                <w:u w:val="none"/>
                <w:lang w:eastAsia="zh-CN"/>
              </w:rPr>
              <w:t>完全相符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工作计划健全性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FF0000"/>
                <w:kern w:val="0"/>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预算编制科学性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u w:val="none"/>
                <w:lang w:val="en-US" w:eastAsia="zh-CN"/>
              </w:rPr>
            </w:pPr>
            <w:r>
              <w:rPr>
                <w:rFonts w:hint="eastAsia" w:ascii="仿宋_GB2312" w:hAnsi="宋体" w:eastAsia="仿宋_GB2312"/>
                <w:color w:val="FF0000"/>
                <w:kern w:val="0"/>
                <w:highlight w:val="none"/>
                <w:u w:val="none"/>
                <w:lang w:eastAsia="zh-CN"/>
              </w:rPr>
              <w:t>科学</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预算编制合理性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u w:val="none"/>
                <w:lang w:val="en-US" w:eastAsia="zh-CN"/>
              </w:rPr>
            </w:pPr>
            <w:r>
              <w:rPr>
                <w:rFonts w:hint="eastAsia" w:ascii="仿宋_GB2312" w:hAnsi="宋体" w:eastAsia="仿宋_GB2312"/>
                <w:color w:val="FF0000"/>
                <w:kern w:val="0"/>
                <w:highlight w:val="none"/>
                <w:u w:val="none"/>
                <w:lang w:eastAsia="zh-CN"/>
              </w:rPr>
              <w:t>合理</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立项规范性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FF0000"/>
                <w:kern w:val="0"/>
                <w:highlight w:val="none"/>
                <w:u w:val="none"/>
                <w:lang w:val="en-US" w:eastAsia="zh-CN"/>
              </w:rPr>
            </w:pPr>
            <w:r>
              <w:rPr>
                <w:rFonts w:hint="eastAsia" w:ascii="仿宋_GB2312" w:hAnsi="宋体" w:eastAsia="仿宋_GB2312"/>
                <w:color w:val="FF0000"/>
                <w:kern w:val="0"/>
                <w:highlight w:val="none"/>
                <w:u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预算调整率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结转结余率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政府采购执行率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非税收入预算完成率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事前绩效评估完成率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资产管理制度健全性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资产管理规范性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财务管理制度健全性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健全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会计核算规范性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规范</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资金使用合规性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完全合规</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公立医院门诊</w:t>
            </w:r>
            <w:r>
              <w:rPr>
                <w:rFonts w:hint="eastAsia" w:ascii="仿宋_GB2312" w:hAnsi="宋体" w:eastAsia="仿宋_GB2312" w:cs="仿宋_GB2312"/>
                <w:color w:val="auto"/>
                <w:kern w:val="0"/>
                <w:highlight w:val="none"/>
                <w:u w:val="none"/>
                <w:lang w:val="en-US" w:eastAsia="zh-CN"/>
              </w:rPr>
              <w:t>/住院次均费用</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持平或下降下降</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医疗服务收入（不含药品、耗材、检查、检验收入）占公立医院医疗收入的比例</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上升</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rPr>
              <w:t>核心业务产出</w:t>
            </w:r>
            <w:r>
              <w:rPr>
                <w:rFonts w:hint="eastAsia" w:ascii="仿宋_GB2312" w:hAnsi="宋体" w:eastAsia="仿宋_GB2312" w:cs="仿宋_GB2312"/>
                <w:color w:val="auto"/>
                <w:kern w:val="0"/>
                <w:highlight w:val="none"/>
                <w:u w:val="none"/>
                <w:lang w:val="en-US" w:eastAsia="zh-CN"/>
              </w:rPr>
              <w:t>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公立医疗机构总诊疗人次</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持续上升</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公立医院收入</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持续上涨</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基层医疗卫生机构诊疗量占全市总诊疗量的比例</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持平或上升</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比较明显</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比较显著</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业务学习与培训完成率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患者满意度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公立医院满意度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98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101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b/>
                <w:bCs/>
                <w:color w:val="auto"/>
                <w:kern w:val="0"/>
                <w:highlight w:val="none"/>
                <w:u w:val="none"/>
              </w:rPr>
            </w:pPr>
            <w:r>
              <w:rPr>
                <w:rFonts w:hint="eastAsia" w:ascii="仿宋_GB2312" w:hAnsi="宋体" w:eastAsia="仿宋_GB2312" w:cs="仿宋_GB2312"/>
                <w:b/>
                <w:bCs/>
                <w:color w:val="auto"/>
                <w:kern w:val="0"/>
                <w:highlight w:val="none"/>
                <w:u w:val="none"/>
              </w:rPr>
              <w:t>年度目标：</w:t>
            </w:r>
          </w:p>
        </w:tc>
        <w:tc>
          <w:tcPr>
            <w:tcW w:w="7549" w:type="dxa"/>
            <w:gridSpan w:val="1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　</w:t>
            </w:r>
            <w:r>
              <w:rPr>
                <w:rFonts w:hint="eastAsia" w:ascii="仿宋_GB2312" w:hAnsi="仿宋_GB2312" w:eastAsia="仿宋_GB2312" w:cs="仿宋_GB2312"/>
                <w:color w:val="auto"/>
                <w:kern w:val="0"/>
                <w:highlight w:val="none"/>
                <w:u w:val="none"/>
              </w:rPr>
              <w:t>1.</w:t>
            </w:r>
            <w:r>
              <w:rPr>
                <w:rFonts w:hint="eastAsia" w:ascii="仿宋_GB2312" w:hAnsi="仿宋_GB2312" w:eastAsia="仿宋_GB2312" w:cs="仿宋_GB2312"/>
                <w:color w:val="auto"/>
                <w:kern w:val="0"/>
                <w:highlight w:val="none"/>
                <w:u w:val="none"/>
                <w:lang w:val="en-US" w:eastAsia="zh-CN"/>
              </w:rPr>
              <w:t>深化党风廉政建设，筑牢全面从严治党“责任墙”；</w:t>
            </w:r>
            <w:r>
              <w:rPr>
                <w:rFonts w:hint="eastAsia" w:ascii="仿宋_GB2312" w:hAnsi="仿宋_GB2312" w:eastAsia="仿宋_GB2312" w:cs="仿宋_GB2312"/>
                <w:color w:val="auto"/>
                <w:kern w:val="0"/>
                <w:highlight w:val="none"/>
                <w:u w:val="none"/>
              </w:rPr>
              <w:t>2.聚焦空间布局，科学谋划发展规划落实</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3.</w:t>
            </w:r>
            <w:r>
              <w:rPr>
                <w:rFonts w:hint="eastAsia" w:ascii="仿宋_GB2312" w:hAnsi="仿宋_GB2312" w:eastAsia="仿宋_GB2312" w:cs="仿宋_GB2312"/>
                <w:color w:val="auto"/>
                <w:kern w:val="0"/>
                <w:highlight w:val="none"/>
                <w:u w:val="none"/>
              </w:rPr>
              <w:t>引进高端资源，助推医疗服务强势发展</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4.</w:t>
            </w:r>
            <w:r>
              <w:rPr>
                <w:rFonts w:hint="eastAsia" w:ascii="仿宋_GB2312" w:hAnsi="仿宋_GB2312" w:eastAsia="仿宋_GB2312" w:cs="仿宋_GB2312"/>
                <w:color w:val="auto"/>
                <w:kern w:val="0"/>
                <w:highlight w:val="none"/>
                <w:u w:val="none"/>
              </w:rPr>
              <w:t>完善基层医疗卫生服务体系，打造高水平健康守门人</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5.</w:t>
            </w:r>
            <w:r>
              <w:rPr>
                <w:rFonts w:hint="eastAsia" w:ascii="仿宋_GB2312" w:hAnsi="仿宋_GB2312" w:eastAsia="仿宋_GB2312" w:cs="仿宋_GB2312"/>
                <w:color w:val="auto"/>
                <w:kern w:val="0"/>
                <w:highlight w:val="none"/>
                <w:u w:val="none"/>
              </w:rPr>
              <w:t>健全公共卫生体系，织密织牢公卫防护网</w:t>
            </w:r>
            <w:r>
              <w:rPr>
                <w:rFonts w:hint="eastAsia" w:ascii="仿宋_GB2312" w:hAnsi="仿宋_GB2312" w:eastAsia="仿宋_GB2312" w:cs="仿宋_GB2312"/>
                <w:color w:val="auto"/>
                <w:kern w:val="0"/>
                <w:highlight w:val="none"/>
                <w:u w:val="none"/>
                <w:lang w:eastAsia="zh-CN"/>
              </w:rPr>
              <w:t>；</w:t>
            </w:r>
            <w:r>
              <w:rPr>
                <w:rFonts w:hint="eastAsia" w:ascii="仿宋_GB2312" w:hAnsi="仿宋_GB2312" w:eastAsia="仿宋_GB2312" w:cs="仿宋_GB2312"/>
                <w:color w:val="auto"/>
                <w:kern w:val="0"/>
                <w:highlight w:val="none"/>
                <w:u w:val="none"/>
                <w:lang w:val="en-US" w:eastAsia="zh-CN"/>
              </w:rPr>
              <w:t>6.</w:t>
            </w:r>
            <w:r>
              <w:rPr>
                <w:rFonts w:hint="eastAsia" w:ascii="仿宋_GB2312" w:hAnsi="仿宋_GB2312" w:eastAsia="仿宋_GB2312" w:cs="仿宋_GB2312"/>
                <w:color w:val="auto"/>
                <w:kern w:val="0"/>
                <w:highlight w:val="none"/>
                <w:u w:val="none"/>
              </w:rPr>
              <w:t>化医疗卫生服务质量与效率，提升公共服务满意度。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年度绩效指标</w:t>
            </w: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指标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二级指标</w:t>
            </w:r>
          </w:p>
        </w:tc>
        <w:tc>
          <w:tcPr>
            <w:tcW w:w="166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三级指标</w:t>
            </w:r>
          </w:p>
        </w:tc>
        <w:tc>
          <w:tcPr>
            <w:tcW w:w="361"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2131" w:type="dxa"/>
            <w:gridSpan w:val="5"/>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指标值</w:t>
            </w:r>
          </w:p>
        </w:tc>
        <w:tc>
          <w:tcPr>
            <w:tcW w:w="528"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指标值确定依据</w:t>
            </w:r>
          </w:p>
        </w:tc>
        <w:tc>
          <w:tcPr>
            <w:tcW w:w="51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近两年指标值</w:t>
            </w:r>
          </w:p>
        </w:tc>
        <w:tc>
          <w:tcPr>
            <w:tcW w:w="959"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预期当年实现值</w:t>
            </w:r>
          </w:p>
        </w:tc>
        <w:tc>
          <w:tcPr>
            <w:tcW w:w="528"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51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val="en-US" w:eastAsia="zh-CN"/>
              </w:rPr>
              <w:t>2022</w:t>
            </w:r>
            <w:r>
              <w:rPr>
                <w:rFonts w:ascii="仿宋_GB2312" w:hAnsi="宋体" w:eastAsia="仿宋_GB2312" w:cs="仿宋_GB2312"/>
                <w:color w:val="auto"/>
                <w:kern w:val="0"/>
                <w:highlight w:val="none"/>
                <w:u w:val="none"/>
              </w:rPr>
              <w:t xml:space="preserve"> </w:t>
            </w:r>
            <w:r>
              <w:rPr>
                <w:rFonts w:hint="eastAsia" w:ascii="仿宋_GB2312" w:hAnsi="宋体" w:eastAsia="仿宋_GB2312" w:cs="仿宋_GB2312"/>
                <w:color w:val="auto"/>
                <w:kern w:val="0"/>
                <w:highlight w:val="none"/>
                <w:u w:val="none"/>
              </w:rPr>
              <w:t>年</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val="en-US" w:eastAsia="zh-CN"/>
              </w:rPr>
              <w:t>2023</w:t>
            </w:r>
            <w:r>
              <w:rPr>
                <w:rFonts w:ascii="仿宋_GB2312" w:hAnsi="宋体" w:eastAsia="仿宋_GB2312" w:cs="仿宋_GB2312"/>
                <w:color w:val="auto"/>
                <w:kern w:val="0"/>
                <w:highlight w:val="none"/>
                <w:u w:val="none"/>
              </w:rPr>
              <w:t xml:space="preserve"> </w:t>
            </w:r>
            <w:r>
              <w:rPr>
                <w:rFonts w:hint="eastAsia" w:ascii="仿宋_GB2312" w:hAnsi="宋体" w:eastAsia="仿宋_GB2312" w:cs="仿宋_GB2312"/>
                <w:color w:val="auto"/>
                <w:kern w:val="0"/>
                <w:highlight w:val="none"/>
                <w:u w:val="none"/>
              </w:rPr>
              <w:t>年</w:t>
            </w:r>
          </w:p>
        </w:tc>
        <w:tc>
          <w:tcPr>
            <w:tcW w:w="959"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528"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514"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成本</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公用经费控制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olor w:val="auto"/>
                <w:kern w:val="0"/>
                <w:highlight w:val="none"/>
                <w:u w:val="none"/>
                <w:lang w:val="en-US" w:eastAsia="zh-CN"/>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在职人员控制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在职</w:t>
            </w:r>
            <w:r>
              <w:rPr>
                <w:rFonts w:hint="eastAsia" w:ascii="仿宋_GB2312" w:hAnsi="宋体" w:eastAsia="仿宋_GB2312"/>
                <w:color w:val="auto"/>
                <w:kern w:val="0"/>
                <w:highlight w:val="none"/>
                <w:u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项目支出成本控制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“三公”经费</w:t>
            </w:r>
            <w:r>
              <w:rPr>
                <w:rFonts w:hint="eastAsia" w:ascii="仿宋_GB2312" w:hAnsi="宋体" w:eastAsia="仿宋_GB2312" w:cs="仿宋_GB2312"/>
                <w:color w:val="auto"/>
                <w:kern w:val="0"/>
                <w:highlight w:val="none"/>
                <w:u w:val="none"/>
              </w:rPr>
              <w:t>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效率</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rPr>
              <w:t>战略管理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中长期规划相符性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完全相符</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完全相符</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完全相符</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工作计划健全性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FF0000"/>
                <w:kern w:val="0"/>
                <w:highlight w:val="none"/>
                <w:u w:val="none"/>
                <w:lang w:eastAsia="zh-CN"/>
              </w:rPr>
              <w:t>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预算编制</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预算编制科学性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科学</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科学</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科学</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预算编制合理性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合理</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合理</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立项规范性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FF0000"/>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预算调整率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预算执行</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预算执行率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结转结余率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政府采购执行率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非税收入预算完成率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绩效管理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事前绩效评估完成率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资产管理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资产管理制度健全性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资产管理规范性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财务管理</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财务管理制度健全性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健全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会计核算规范性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规范</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资金使用合规性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完全合规</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完全合规</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FF0000"/>
                <w:kern w:val="0"/>
                <w:highlight w:val="none"/>
                <w:u w:val="none"/>
                <w:lang w:eastAsia="zh-CN"/>
              </w:rPr>
              <w:t>完全合规</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效能</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val="en-US" w:eastAsia="zh-CN"/>
              </w:rPr>
              <w:t>核心业务产出1</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公立医院门诊</w:t>
            </w:r>
            <w:r>
              <w:rPr>
                <w:rFonts w:hint="eastAsia" w:ascii="仿宋_GB2312" w:hAnsi="宋体" w:eastAsia="仿宋_GB2312" w:cs="仿宋_GB2312"/>
                <w:color w:val="auto"/>
                <w:kern w:val="0"/>
                <w:highlight w:val="none"/>
                <w:u w:val="none"/>
                <w:lang w:val="en-US" w:eastAsia="zh-CN"/>
              </w:rPr>
              <w:t>/住院次均费用</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232.96/10398.97</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持平或下降</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核心业务产出2</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医疗服务收入（不含药品、耗材、检查、检验收入）占公立医院医疗收入的比例</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36.35%</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上升</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核心业务产出3</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公立医疗机构总诊疗人次</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u w:val="none"/>
                <w:lang w:val="en-US" w:eastAsia="zh-CN"/>
              </w:rPr>
            </w:pPr>
            <w:r>
              <w:rPr>
                <w:rFonts w:hint="eastAsia" w:ascii="仿宋_GB2312" w:hAnsi="宋体" w:eastAsia="仿宋_GB2312" w:cs="仿宋_GB2312"/>
                <w:color w:val="auto"/>
                <w:kern w:val="0"/>
                <w:highlight w:val="none"/>
                <w:u w:val="none"/>
                <w:lang w:val="en-US" w:eastAsia="zh-CN"/>
              </w:rPr>
              <w:t>3177377</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持续上升</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效应</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经济效益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lang w:eastAsia="zh-CN"/>
              </w:rPr>
            </w:pPr>
            <w:r>
              <w:rPr>
                <w:rFonts w:hint="eastAsia" w:ascii="仿宋_GB2312" w:hAnsi="宋体" w:eastAsia="仿宋_GB2312" w:cs="仿宋_GB2312"/>
                <w:color w:val="auto"/>
                <w:kern w:val="0"/>
                <w:highlight w:val="none"/>
                <w:u w:val="none"/>
                <w:lang w:eastAsia="zh-CN"/>
              </w:rPr>
              <w:t>公立医院收入</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14.47亿元</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21.09亿元</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持续上涨</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社会效益</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基层医疗卫生机构诊疗量占全市总诊疗量的比例</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49.7%</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highlight w:val="none"/>
                <w:u w:val="none"/>
                <w:lang w:val="en-US" w:eastAsia="zh-CN"/>
              </w:rPr>
            </w:pPr>
            <w:r>
              <w:rPr>
                <w:rFonts w:hint="eastAsia" w:ascii="仿宋_GB2312" w:hAnsi="宋体" w:eastAsia="仿宋_GB2312" w:cs="仿宋_GB2312"/>
                <w:color w:val="auto"/>
                <w:kern w:val="0"/>
                <w:highlight w:val="none"/>
                <w:u w:val="none"/>
                <w:lang w:val="en-US" w:eastAsia="zh-CN"/>
              </w:rPr>
              <w:t>52.6%</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持平或上升</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可持续发展能力</w:t>
            </w: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体制机制改革</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服务体制改革成效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比较明显</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比较明显</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比较明显</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行政管理体制改革成效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比较显著</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比较显著</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eastAsia" w:ascii="仿宋_GB2312" w:hAnsi="宋体" w:eastAsia="仿宋_GB2312" w:cs="仿宋_GB2312"/>
                <w:color w:val="auto"/>
                <w:kern w:val="0"/>
                <w:highlight w:val="none"/>
                <w:u w:val="none"/>
                <w:lang w:eastAsia="zh-CN"/>
              </w:rPr>
              <w:t>比较显著</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人才支撑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业务学习与培训完成率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仿宋_GB2312"/>
                <w:color w:val="auto"/>
                <w:kern w:val="0"/>
                <w:highlight w:val="none"/>
                <w:u w:val="none"/>
              </w:rPr>
            </w:pP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科技支撑</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lang w:val="en-US" w:eastAsia="zh-CN"/>
              </w:rPr>
              <w:t>≤</w:t>
            </w:r>
            <w:r>
              <w:rPr>
                <w:rFonts w:hint="eastAsia" w:ascii="仿宋_GB2312" w:hAnsi="宋体" w:eastAsia="仿宋_GB2312"/>
                <w:color w:val="auto"/>
                <w:kern w:val="0"/>
                <w:highlight w:val="none"/>
                <w:u w:val="none"/>
                <w:lang w:val="en-US" w:eastAsia="zh-CN"/>
              </w:rPr>
              <w:t>100%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Times New Roman"/>
                <w:color w:val="auto"/>
                <w:kern w:val="0"/>
                <w:sz w:val="21"/>
                <w:szCs w:val="22"/>
                <w:highlight w:val="none"/>
                <w:u w:val="none"/>
                <w:lang w:val="en-US" w:eastAsia="zh-CN" w:bidi="ar-SA"/>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满意度</w:t>
            </w: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服务对象满意度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患者满意度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ascii="仿宋_GB2312" w:hAnsi="宋体" w:eastAsia="仿宋_GB2312"/>
                <w:color w:val="auto"/>
                <w:kern w:val="0"/>
                <w:highlight w:val="none"/>
                <w:u w:val="none"/>
              </w:rPr>
            </w:pPr>
          </w:p>
        </w:tc>
        <w:tc>
          <w:tcPr>
            <w:tcW w:w="82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olor w:val="auto"/>
                <w:kern w:val="0"/>
                <w:highlight w:val="none"/>
                <w:u w:val="none"/>
              </w:rPr>
            </w:pPr>
          </w:p>
        </w:tc>
        <w:tc>
          <w:tcPr>
            <w:tcW w:w="152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rPr>
              <w:t>联系部门满意度</w:t>
            </w:r>
          </w:p>
        </w:tc>
        <w:tc>
          <w:tcPr>
            <w:tcW w:w="166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公立医院满意度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95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sz w:val="21"/>
                <w:szCs w:val="22"/>
                <w:highlight w:val="none"/>
                <w:u w:val="none"/>
                <w:lang w:val="en-US" w:eastAsia="zh-CN" w:bidi="ar-SA"/>
              </w:rPr>
            </w:pPr>
            <w:r>
              <w:rPr>
                <w:rFonts w:hint="default" w:ascii="Arial" w:hAnsi="Arial" w:eastAsia="仿宋_GB2312" w:cs="Arial"/>
                <w:color w:val="auto"/>
                <w:kern w:val="0"/>
                <w:highlight w:val="none"/>
                <w:u w:val="none"/>
              </w:rPr>
              <w:t>≥</w:t>
            </w:r>
            <w:r>
              <w:rPr>
                <w:rFonts w:hint="eastAsia" w:ascii="仿宋_GB2312" w:hAnsi="宋体" w:eastAsia="仿宋_GB2312" w:cs="仿宋_GB2312"/>
                <w:color w:val="auto"/>
                <w:kern w:val="0"/>
                <w:highlight w:val="none"/>
                <w:u w:val="none"/>
                <w:lang w:val="en-US" w:eastAsia="zh-CN"/>
              </w:rPr>
              <w:t>80%</w:t>
            </w:r>
          </w:p>
        </w:tc>
        <w:tc>
          <w:tcPr>
            <w:tcW w:w="528"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olor w:val="auto"/>
                <w:kern w:val="0"/>
                <w:highlight w:val="none"/>
                <w:u w:val="none"/>
                <w:lang w:eastAsia="zh-CN"/>
              </w:rPr>
              <w:t>计划标准</w:t>
            </w:r>
          </w:p>
        </w:tc>
        <w:tc>
          <w:tcPr>
            <w:tcW w:w="51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u w:val="none"/>
              </w:rPr>
            </w:pPr>
            <w:r>
              <w:rPr>
                <w:rFonts w:hint="eastAsia" w:ascii="仿宋_GB2312" w:hAnsi="宋体" w:eastAsia="仿宋_GB2312" w:cs="仿宋_GB2312"/>
                <w:color w:val="auto"/>
                <w:kern w:val="0"/>
                <w:highlight w:val="none"/>
                <w:u w:val="none"/>
                <w:lang w:eastAsia="zh-CN"/>
              </w:rPr>
              <w:t>绩效基本型</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B5A1E5-11A5-4196-AB92-C99613FA53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487447-A7ED-4FD6-92D1-E89D52532BD9}"/>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3" w:fontKey="{EA8E1DA0-A7F6-4176-B170-63161F33A72D}"/>
  </w:font>
  <w:font w:name="楷体_GB2312">
    <w:altName w:val="楷体"/>
    <w:panose1 w:val="02010609030101010101"/>
    <w:charset w:val="86"/>
    <w:family w:val="auto"/>
    <w:pitch w:val="default"/>
    <w:sig w:usb0="00000000" w:usb1="00000000" w:usb2="00000000" w:usb3="00000000" w:csb0="00040000" w:csb1="00000000"/>
    <w:embedRegular r:id="rId4" w:fontKey="{40832FB9-D861-4BF7-9FD1-F58FC44FF69A}"/>
  </w:font>
  <w:font w:name="仿宋_GB2312">
    <w:panose1 w:val="02010609030101010101"/>
    <w:charset w:val="86"/>
    <w:family w:val="modern"/>
    <w:pitch w:val="default"/>
    <w:sig w:usb0="00000001" w:usb1="080E0000" w:usb2="00000000" w:usb3="00000000" w:csb0="00040000" w:csb1="00000000"/>
    <w:embedRegular r:id="rId5" w:fontKey="{1C46A4F5-D229-4C2A-BCDF-3AA45B6C0A3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jBiOGE4NjA3NmM2ZWRkYTc1ZDRlNzFhZTU1MTYifQ=="/>
  </w:docVars>
  <w:rsids>
    <w:rsidRoot w:val="2C365954"/>
    <w:rsid w:val="02B32A88"/>
    <w:rsid w:val="039E5F0E"/>
    <w:rsid w:val="03C03826"/>
    <w:rsid w:val="05E83F4A"/>
    <w:rsid w:val="067B1F1D"/>
    <w:rsid w:val="09270E4B"/>
    <w:rsid w:val="0A0A5D8F"/>
    <w:rsid w:val="0B0264D2"/>
    <w:rsid w:val="0EAA392A"/>
    <w:rsid w:val="180E54E5"/>
    <w:rsid w:val="1CA22253"/>
    <w:rsid w:val="1D7C4396"/>
    <w:rsid w:val="1F3A71C9"/>
    <w:rsid w:val="212C2F24"/>
    <w:rsid w:val="24950BFD"/>
    <w:rsid w:val="255B543B"/>
    <w:rsid w:val="28467821"/>
    <w:rsid w:val="29015919"/>
    <w:rsid w:val="293E468F"/>
    <w:rsid w:val="2A9860D6"/>
    <w:rsid w:val="2C365954"/>
    <w:rsid w:val="2C8352B4"/>
    <w:rsid w:val="30240E53"/>
    <w:rsid w:val="388B350E"/>
    <w:rsid w:val="40A91FAB"/>
    <w:rsid w:val="422B1328"/>
    <w:rsid w:val="489C632F"/>
    <w:rsid w:val="4CED6011"/>
    <w:rsid w:val="537B1A7D"/>
    <w:rsid w:val="55225534"/>
    <w:rsid w:val="59494320"/>
    <w:rsid w:val="5FB27B23"/>
    <w:rsid w:val="62C7426D"/>
    <w:rsid w:val="6419003B"/>
    <w:rsid w:val="7FAD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3152</Words>
  <Characters>3641</Characters>
  <Lines>0</Lines>
  <Paragraphs>0</Paragraphs>
  <TotalTime>6</TotalTime>
  <ScaleCrop>false</ScaleCrop>
  <LinksUpToDate>false</LinksUpToDate>
  <CharactersWithSpaces>3667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市卫生健康委员会编辑</cp:lastModifiedBy>
  <cp:lastPrinted>2024-01-24T08:44:00Z</cp:lastPrinted>
  <dcterms:modified xsi:type="dcterms:W3CDTF">2024-06-13T09:36:50Z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7D35D4129FBE4D18B5AB7F59ED3C128F_11</vt:lpwstr>
  </property>
</Properties>
</file>