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rPr>
      </w:pPr>
      <w:r>
        <w:rPr>
          <w:rFonts w:hint="eastAsia" w:asciiTheme="majorEastAsia" w:hAnsiTheme="majorEastAsia" w:eastAsiaTheme="majorEastAsia" w:cstheme="majorEastAsia"/>
          <w:b/>
          <w:bCs/>
          <w:sz w:val="32"/>
          <w:szCs w:val="32"/>
        </w:rPr>
        <w:t>2023年度肇事肇祸严重精神障碍患者救治经费项目自评表</w:t>
      </w:r>
    </w:p>
    <w:p>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4"/>
          <w:szCs w:val="24"/>
        </w:rPr>
        <w:t>鄂州市精神卫生中心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 xml:space="preserve">填报日期： </w:t>
      </w:r>
      <w:r>
        <w:rPr>
          <w:rFonts w:ascii="楷体_GB2312" w:hAnsi="仿宋" w:eastAsia="楷体_GB2312" w:cs="楷体_GB2312"/>
          <w:kern w:val="0"/>
          <w:sz w:val="24"/>
          <w:szCs w:val="24"/>
        </w:rPr>
        <w:t>202</w:t>
      </w:r>
      <w:r>
        <w:rPr>
          <w:rFonts w:hint="eastAsia" w:ascii="楷体_GB2312" w:hAnsi="仿宋" w:eastAsia="楷体_GB2312" w:cs="楷体_GB2312"/>
          <w:kern w:val="0"/>
          <w:sz w:val="24"/>
          <w:szCs w:val="24"/>
        </w:rPr>
        <w:t>4年4 月15日</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088"/>
        <w:gridCol w:w="378"/>
        <w:gridCol w:w="131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肇事肇祸严重精神障碍患者救治经费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鄂州市卫生</w:t>
            </w:r>
            <w:bookmarkStart w:id="1" w:name="_GoBack"/>
            <w:bookmarkEnd w:id="1"/>
            <w:r>
              <w:rPr>
                <w:rFonts w:hint="eastAsia" w:ascii="仿宋_GB2312" w:hAnsi="宋体" w:eastAsia="仿宋_GB2312" w:cs="Times New Roman"/>
                <w:kern w:val="0"/>
              </w:rPr>
              <w:t>健康委员会</w:t>
            </w:r>
          </w:p>
        </w:tc>
        <w:tc>
          <w:tcPr>
            <w:tcW w:w="1482"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57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鄂州市精神卫生中心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、省直专项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17"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46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464</w:t>
            </w:r>
          </w:p>
        </w:tc>
        <w:tc>
          <w:tcPr>
            <w:tcW w:w="1317"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464</w:t>
            </w:r>
          </w:p>
        </w:tc>
        <w:tc>
          <w:tcPr>
            <w:tcW w:w="146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p>
        </w:tc>
        <w:tc>
          <w:tcPr>
            <w:tcW w:w="219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2</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r>
              <w:rPr>
                <w:rFonts w:ascii="仿宋_GB2312" w:hAnsi="宋体" w:eastAsia="仿宋_GB2312" w:cs="仿宋_GB2312"/>
                <w:kern w:val="0"/>
                <w:sz w:val="20"/>
                <w:szCs w:val="20"/>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66"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市精卫中心救治人数</w:t>
            </w:r>
          </w:p>
        </w:tc>
        <w:tc>
          <w:tcPr>
            <w:tcW w:w="146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48</w:t>
            </w:r>
            <w:r>
              <w:rPr>
                <w:rFonts w:ascii="仿宋_GB2312" w:hAnsi="宋体" w:eastAsia="仿宋_GB2312" w:cs="Times New Roman"/>
                <w:kern w:val="0"/>
              </w:rPr>
              <w:t>00</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5274</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临江卫生院救治人数</w:t>
            </w:r>
          </w:p>
        </w:tc>
        <w:tc>
          <w:tcPr>
            <w:tcW w:w="1466"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4</w:t>
            </w:r>
            <w:r>
              <w:rPr>
                <w:rFonts w:hint="eastAsia" w:ascii="仿宋_GB2312" w:hAnsi="宋体" w:eastAsia="仿宋_GB2312" w:cs="Times New Roman"/>
                <w:kern w:val="0"/>
              </w:rPr>
              <w:t>5</w:t>
            </w:r>
            <w:r>
              <w:rPr>
                <w:rFonts w:ascii="仿宋_GB2312" w:hAnsi="宋体" w:eastAsia="仿宋_GB2312" w:cs="Times New Roman"/>
                <w:kern w:val="0"/>
              </w:rPr>
              <w:t>0</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453</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市优抚医院救治人数</w:t>
            </w:r>
          </w:p>
        </w:tc>
        <w:tc>
          <w:tcPr>
            <w:tcW w:w="146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1500</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1517</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市优抚城东救治人数</w:t>
            </w:r>
          </w:p>
        </w:tc>
        <w:tc>
          <w:tcPr>
            <w:tcW w:w="146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2400</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2482</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公益性</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肇事肇祸患者救助率</w:t>
            </w:r>
          </w:p>
        </w:tc>
        <w:tc>
          <w:tcPr>
            <w:tcW w:w="146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95</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96</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公益性</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肇事肇祸患者收治率</w:t>
            </w:r>
          </w:p>
        </w:tc>
        <w:tc>
          <w:tcPr>
            <w:tcW w:w="146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100</w:t>
            </w:r>
          </w:p>
        </w:tc>
        <w:tc>
          <w:tcPr>
            <w:tcW w:w="13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社会责任</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肇事肇祸案件发生率</w:t>
            </w:r>
          </w:p>
        </w:tc>
        <w:tc>
          <w:tcPr>
            <w:tcW w:w="1466" w:type="dxa"/>
            <w:gridSpan w:val="2"/>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0</w:t>
            </w:r>
          </w:p>
        </w:tc>
        <w:tc>
          <w:tcPr>
            <w:tcW w:w="1319"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0</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社会责任</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肇事肇祸患者好转率</w:t>
            </w:r>
          </w:p>
        </w:tc>
        <w:tc>
          <w:tcPr>
            <w:tcW w:w="1466"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9</w:t>
            </w:r>
            <w:r>
              <w:rPr>
                <w:rFonts w:ascii="仿宋_GB2312" w:hAnsi="宋体" w:eastAsia="仿宋_GB2312" w:cs="Times New Roman"/>
                <w:kern w:val="0"/>
              </w:rPr>
              <w:t>0</w:t>
            </w:r>
          </w:p>
        </w:tc>
        <w:tc>
          <w:tcPr>
            <w:tcW w:w="1319"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92</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住院患者满意度</w:t>
            </w:r>
          </w:p>
        </w:tc>
        <w:tc>
          <w:tcPr>
            <w:tcW w:w="1466"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95</w:t>
            </w:r>
          </w:p>
        </w:tc>
        <w:tc>
          <w:tcPr>
            <w:tcW w:w="1319" w:type="dxa"/>
            <w:vAlign w:val="center"/>
          </w:tcPr>
          <w:p>
            <w:pPr>
              <w:widowControl/>
              <w:snapToGrid w:val="0"/>
              <w:jc w:val="center"/>
              <w:rPr>
                <w:rFonts w:hint="eastAsia" w:ascii="仿宋_GB2312" w:hAnsi="宋体" w:eastAsia="仿宋_GB2312" w:cs="Times New Roman"/>
                <w:kern w:val="0"/>
              </w:rPr>
            </w:pPr>
            <w:r>
              <w:rPr>
                <w:rFonts w:ascii="仿宋_GB2312" w:hAnsi="宋体" w:eastAsia="仿宋_GB2312" w:cs="Times New Roman"/>
                <w:kern w:val="0"/>
              </w:rPr>
              <w:t>9</w:t>
            </w:r>
            <w:r>
              <w:rPr>
                <w:rFonts w:hint="eastAsia" w:ascii="仿宋_GB2312" w:hAnsi="宋体" w:eastAsia="仿宋_GB2312" w:cs="Times New Roman"/>
                <w:kern w:val="0"/>
              </w:rPr>
              <w:t>8</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2636"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门诊患者满意度</w:t>
            </w:r>
          </w:p>
        </w:tc>
        <w:tc>
          <w:tcPr>
            <w:tcW w:w="1466" w:type="dxa"/>
            <w:gridSpan w:val="2"/>
            <w:vAlign w:val="center"/>
          </w:tcPr>
          <w:p>
            <w:pPr>
              <w:widowControl/>
              <w:snapToGrid w:val="0"/>
              <w:jc w:val="center"/>
              <w:rPr>
                <w:rFonts w:ascii="仿宋_GB2312" w:hAnsi="宋体" w:eastAsia="仿宋_GB2312" w:cs="Times New Roman"/>
                <w:kern w:val="0"/>
              </w:rPr>
            </w:pPr>
            <w:r>
              <w:rPr>
                <w:rFonts w:ascii="仿宋_GB2312" w:hAnsi="宋体" w:eastAsia="仿宋_GB2312" w:cs="Times New Roman"/>
                <w:kern w:val="0"/>
              </w:rPr>
              <w:t>95</w:t>
            </w:r>
          </w:p>
        </w:tc>
        <w:tc>
          <w:tcPr>
            <w:tcW w:w="1319" w:type="dxa"/>
            <w:vAlign w:val="center"/>
          </w:tcPr>
          <w:p>
            <w:pPr>
              <w:widowControl/>
              <w:snapToGrid w:val="0"/>
              <w:jc w:val="center"/>
              <w:rPr>
                <w:rFonts w:hint="eastAsia" w:ascii="仿宋_GB2312" w:hAnsi="宋体" w:eastAsia="仿宋_GB2312" w:cs="Times New Roman"/>
                <w:kern w:val="0"/>
              </w:rPr>
            </w:pPr>
            <w:r>
              <w:rPr>
                <w:rFonts w:ascii="仿宋_GB2312" w:hAnsi="宋体" w:eastAsia="仿宋_GB2312" w:cs="Times New Roman"/>
                <w:kern w:val="0"/>
              </w:rPr>
              <w:t>9</w:t>
            </w:r>
            <w:r>
              <w:rPr>
                <w:rFonts w:hint="eastAsia" w:ascii="仿宋_GB2312" w:hAnsi="宋体" w:eastAsia="仿宋_GB2312" w:cs="Times New Roman"/>
                <w:kern w:val="0"/>
              </w:rPr>
              <w:t>6</w:t>
            </w:r>
          </w:p>
        </w:tc>
        <w:tc>
          <w:tcPr>
            <w:tcW w:w="877"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2636" w:type="dxa"/>
            <w:gridSpan w:val="3"/>
            <w:vAlign w:val="center"/>
          </w:tcPr>
          <w:p>
            <w:pPr>
              <w:widowControl/>
              <w:snapToGrid w:val="0"/>
              <w:jc w:val="center"/>
              <w:rPr>
                <w:rFonts w:ascii="仿宋_GB2312" w:hAnsi="宋体" w:eastAsia="仿宋_GB2312" w:cs="Times New Roman"/>
                <w:kern w:val="0"/>
              </w:rPr>
            </w:pPr>
          </w:p>
        </w:tc>
        <w:tc>
          <w:tcPr>
            <w:tcW w:w="1466" w:type="dxa"/>
            <w:gridSpan w:val="2"/>
            <w:vAlign w:val="center"/>
          </w:tcPr>
          <w:p>
            <w:pPr>
              <w:widowControl/>
              <w:snapToGrid w:val="0"/>
              <w:jc w:val="center"/>
              <w:rPr>
                <w:rFonts w:ascii="仿宋_GB2312" w:hAnsi="宋体" w:eastAsia="仿宋_GB2312" w:cs="Times New Roman"/>
                <w:kern w:val="0"/>
              </w:rPr>
            </w:pPr>
          </w:p>
        </w:tc>
        <w:tc>
          <w:tcPr>
            <w:tcW w:w="1319" w:type="dxa"/>
            <w:vAlign w:val="center"/>
          </w:tcPr>
          <w:p>
            <w:pPr>
              <w:widowControl/>
              <w:snapToGrid w:val="0"/>
              <w:jc w:val="center"/>
              <w:rPr>
                <w:rFonts w:ascii="仿宋_GB2312" w:hAnsi="宋体" w:eastAsia="仿宋_GB2312" w:cs="Times New Roman"/>
                <w:kern w:val="0"/>
              </w:rPr>
            </w:pPr>
          </w:p>
        </w:tc>
        <w:tc>
          <w:tcPr>
            <w:tcW w:w="877"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1</w:t>
            </w:r>
            <w:r>
              <w:rPr>
                <w:rFonts w:ascii="仿宋_GB2312" w:hAnsi="宋体" w:eastAsia="仿宋_GB2312" w:cs="Times New Roman"/>
                <w:kern w:val="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无</w:t>
            </w:r>
          </w:p>
        </w:tc>
      </w:tr>
    </w:tbl>
    <w:p>
      <w:pPr>
        <w:widowControl/>
        <w:rPr>
          <w:rFonts w:ascii="仿宋_GB2312" w:hAnsi="宋体" w:eastAsia="仿宋_GB2312" w:cs="Times New Roman"/>
          <w:kern w:val="0"/>
        </w:rPr>
      </w:pPr>
      <w:bookmarkStart w:id="0" w:name="_Hlk163729254"/>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ascii="仿宋_GB2312" w:hAnsi="宋体" w:eastAsia="仿宋_GB2312" w:cs="仿宋_GB2312"/>
          <w:kern w:val="0"/>
        </w:rPr>
      </w:pPr>
      <w:r>
        <w:rPr>
          <w:rFonts w:hint="eastAsia" w:ascii="仿宋_GB2312" w:hAnsi="宋体" w:eastAsia="仿宋_GB2312" w:cs="仿宋_GB2312"/>
          <w:kern w:val="0"/>
        </w:rPr>
        <w:t>3.部门预算项目以二级项目填报，市对下专项转移支付项目、具有特定用途和具体使用目标的共同事权类一般性转移支付以一级项目填报。</w:t>
      </w:r>
    </w:p>
    <w:bookmarkEnd w:id="0"/>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1NjBiOGE4NjA3NmM2ZWRkYTc1ZDRlNzFhZTU1MTYifQ=="/>
  </w:docVars>
  <w:rsids>
    <w:rsidRoot w:val="000B4F79"/>
    <w:rsid w:val="00052CDB"/>
    <w:rsid w:val="000B4F79"/>
    <w:rsid w:val="00200C60"/>
    <w:rsid w:val="002B0A08"/>
    <w:rsid w:val="0031670F"/>
    <w:rsid w:val="0036554E"/>
    <w:rsid w:val="004A0057"/>
    <w:rsid w:val="00830C8B"/>
    <w:rsid w:val="009A66BD"/>
    <w:rsid w:val="00B825AF"/>
    <w:rsid w:val="00C47A98"/>
    <w:rsid w:val="00CD775D"/>
    <w:rsid w:val="53E4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640</Words>
  <Characters>708</Characters>
  <Lines>6</Lines>
  <Paragraphs>1</Paragraphs>
  <TotalTime>0</TotalTime>
  <ScaleCrop>false</ScaleCrop>
  <LinksUpToDate>false</LinksUpToDate>
  <CharactersWithSpaces>753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2023-05-26T00:23:00Z</dcterms:created>
  <dc:creator>微软用户</dc:creator>
  <cp:lastModifiedBy>市卫生健康委员会收发员</cp:lastModifiedBy>
  <dcterms:modified xsi:type="dcterms:W3CDTF">2024-06-04T09:18:44Z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66703889E5E6437BB682EE2F243939C6_12</vt:lpwstr>
  </property>
</Properties>
</file>