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24" w:rsidRDefault="005F7068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2023年度</w:t>
      </w:r>
      <w:r w:rsidR="00A75E73">
        <w:rPr>
          <w:rFonts w:ascii="方正小标宋简体" w:eastAsia="方正小标宋简体" w:hAnsi="宋体" w:cs="方正小标宋简体" w:hint="eastAsia"/>
          <w:sz w:val="44"/>
          <w:szCs w:val="44"/>
        </w:rPr>
        <w:t>公立医院运行补助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自评表</w:t>
      </w:r>
    </w:p>
    <w:p w:rsidR="002F2F24" w:rsidRDefault="002F2F24">
      <w:pPr>
        <w:rPr>
          <w:rFonts w:cs="Times New Roman"/>
        </w:rPr>
      </w:pPr>
    </w:p>
    <w:p w:rsidR="002F2F24" w:rsidRDefault="005F7068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A75E73">
        <w:rPr>
          <w:rFonts w:ascii="楷体_GB2312" w:eastAsia="楷体_GB2312" w:hAnsi="仿宋" w:cs="楷体_GB2312" w:hint="eastAsia"/>
          <w:kern w:val="0"/>
          <w:sz w:val="28"/>
          <w:szCs w:val="28"/>
        </w:rPr>
        <w:t>鄂州市第三医院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</w:t>
      </w:r>
      <w:r w:rsidR="00A75E73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A75E73">
        <w:rPr>
          <w:rFonts w:ascii="楷体_GB2312" w:eastAsia="楷体_GB2312" w:hAnsi="仿宋" w:cs="楷体_GB2312" w:hint="eastAsia"/>
          <w:kern w:val="0"/>
          <w:sz w:val="28"/>
          <w:szCs w:val="28"/>
        </w:rPr>
        <w:t>2024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 w:rsidR="00A75E73">
        <w:rPr>
          <w:rFonts w:ascii="楷体_GB2312" w:eastAsia="楷体_GB2312" w:hAnsi="仿宋" w:cs="楷体_GB2312" w:hint="eastAsia"/>
          <w:kern w:val="0"/>
          <w:sz w:val="28"/>
          <w:szCs w:val="28"/>
        </w:rPr>
        <w:t>4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 w:rsidR="00A75E73">
        <w:rPr>
          <w:rFonts w:ascii="楷体_GB2312" w:eastAsia="楷体_GB2312" w:hAnsi="仿宋" w:cs="楷体_GB2312" w:hint="eastAsia"/>
          <w:kern w:val="0"/>
          <w:sz w:val="28"/>
          <w:szCs w:val="28"/>
        </w:rPr>
        <w:t>10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698"/>
      </w:tblGrid>
      <w:tr w:rsidR="002F2F24" w:rsidTr="00A75E7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582" w:type="dxa"/>
            <w:gridSpan w:val="6"/>
            <w:vAlign w:val="center"/>
          </w:tcPr>
          <w:p w:rsidR="002F2F24" w:rsidRDefault="00A75E7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公立医院运行补助</w:t>
            </w:r>
          </w:p>
        </w:tc>
      </w:tr>
      <w:tr w:rsidR="002F2F24" w:rsidTr="00A75E7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2F2F24" w:rsidRDefault="00A75E7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鄂州市卫生健康委员会</w:t>
            </w:r>
          </w:p>
        </w:tc>
        <w:tc>
          <w:tcPr>
            <w:tcW w:w="2520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698" w:type="dxa"/>
            <w:vAlign w:val="center"/>
          </w:tcPr>
          <w:p w:rsidR="002F2F24" w:rsidRDefault="00A75E7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鄂州市第三医院</w:t>
            </w:r>
          </w:p>
        </w:tc>
      </w:tr>
      <w:tr w:rsidR="002F2F24" w:rsidTr="00A75E7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582" w:type="dxa"/>
            <w:gridSpan w:val="6"/>
            <w:vAlign w:val="center"/>
          </w:tcPr>
          <w:p w:rsidR="002F2F24" w:rsidRDefault="005F7068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="00A75E73"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、市直专项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、市对下转移支付项目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2F2F24" w:rsidTr="00A75E7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582" w:type="dxa"/>
            <w:gridSpan w:val="6"/>
            <w:vAlign w:val="center"/>
          </w:tcPr>
          <w:p w:rsidR="002F2F24" w:rsidRDefault="005F706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="00A75E73"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2F2F24" w:rsidTr="00A75E7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582" w:type="dxa"/>
            <w:gridSpan w:val="6"/>
            <w:vAlign w:val="center"/>
          </w:tcPr>
          <w:p w:rsidR="002F2F24" w:rsidRDefault="005F7068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="00A75E73"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2F2F24" w:rsidTr="00A75E73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:rsidR="002F2F24" w:rsidRDefault="002F2F24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3176" w:type="dxa"/>
            <w:gridSpan w:val="2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</w:tr>
      <w:tr w:rsidR="002F2F24" w:rsidTr="00A75E73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2F2F24" w:rsidRDefault="002F2F24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:rsidR="002F2F24" w:rsidRDefault="00A75E7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800</w:t>
            </w:r>
          </w:p>
        </w:tc>
        <w:tc>
          <w:tcPr>
            <w:tcW w:w="1680" w:type="dxa"/>
            <w:gridSpan w:val="2"/>
            <w:vAlign w:val="center"/>
          </w:tcPr>
          <w:p w:rsidR="002F2F24" w:rsidRDefault="00A75E7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800</w:t>
            </w:r>
          </w:p>
        </w:tc>
        <w:tc>
          <w:tcPr>
            <w:tcW w:w="3176" w:type="dxa"/>
            <w:gridSpan w:val="2"/>
            <w:vAlign w:val="center"/>
          </w:tcPr>
          <w:p w:rsidR="002F2F24" w:rsidRDefault="00A75E7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</w:tr>
      <w:tr w:rsidR="002F2F24" w:rsidTr="00A75E73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2F2F24" w:rsidRDefault="002F2F24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2F2F24" w:rsidRDefault="005F7068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698" w:type="dxa"/>
            <w:vAlign w:val="center"/>
          </w:tcPr>
          <w:p w:rsidR="002F2F24" w:rsidRDefault="005F7068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医疗设备数量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≥79台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≥79台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5C3B6D">
            <w:pPr>
              <w:widowControl/>
              <w:snapToGrid w:val="0"/>
              <w:ind w:firstLineChars="400" w:firstLine="84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救护车数量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≥10辆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≥10辆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棉絮、被服数量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≥300套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≥300套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C3B6D" w:rsidRDefault="005C3B6D" w:rsidP="00EB31AD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设备质量验收合格率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≥100%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及时完成率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≥100%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采购成本控制率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≥100%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C3B6D" w:rsidRDefault="005C3B6D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 w:rsidRPr="00B44B3F">
              <w:rPr>
                <w:rFonts w:ascii="仿宋_GB2312" w:eastAsia="仿宋_GB2312" w:hAnsi="宋体" w:cs="Times New Roman" w:hint="eastAsia"/>
                <w:kern w:val="0"/>
              </w:rPr>
              <w:t>提高传染病的救治能力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≥80%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≥80%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 xml:space="preserve">可持续影响指标 </w:t>
            </w: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44B3F">
              <w:rPr>
                <w:rFonts w:ascii="仿宋_GB2312" w:eastAsia="仿宋_GB2312" w:hAnsi="宋体" w:cs="Times New Roman" w:hint="eastAsia"/>
                <w:kern w:val="0"/>
              </w:rPr>
              <w:t>居民对结核病、艾滋病、新冠肺炎等传染病防治知识的知晓情况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≥80%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≥80%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5C3B6D" w:rsidRPr="00B44B3F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B44B3F">
              <w:rPr>
                <w:rFonts w:ascii="仿宋_GB2312" w:eastAsia="仿宋_GB2312" w:hAnsi="宋体" w:cs="仿宋_GB2312" w:hint="eastAsia"/>
                <w:kern w:val="0"/>
              </w:rPr>
              <w:t>服务对象</w:t>
            </w:r>
          </w:p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B44B3F">
              <w:rPr>
                <w:rFonts w:ascii="仿宋_GB2312" w:eastAsia="仿宋_GB2312" w:hAnsi="宋体" w:cs="仿宋_GB2312" w:hint="eastAsia"/>
                <w:kern w:val="0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44B3F">
              <w:rPr>
                <w:rFonts w:ascii="仿宋_GB2312" w:eastAsia="仿宋_GB2312" w:hAnsi="宋体" w:cs="Times New Roman" w:hint="eastAsia"/>
                <w:kern w:val="0"/>
              </w:rPr>
              <w:t>居民对结核病、艾滋病、新冠肺炎预防和治疗的满意情况</w:t>
            </w:r>
          </w:p>
        </w:tc>
        <w:tc>
          <w:tcPr>
            <w:tcW w:w="147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≥80%</w:t>
            </w:r>
          </w:p>
        </w:tc>
        <w:tc>
          <w:tcPr>
            <w:tcW w:w="1698" w:type="dxa"/>
            <w:vAlign w:val="center"/>
          </w:tcPr>
          <w:p w:rsidR="005C3B6D" w:rsidRDefault="005C3B6D" w:rsidP="00EB31A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≥80%</w:t>
            </w: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5C3B6D" w:rsidTr="00A75E73">
        <w:trPr>
          <w:trHeight w:val="510"/>
          <w:jc w:val="center"/>
        </w:trPr>
        <w:tc>
          <w:tcPr>
            <w:tcW w:w="828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5C3B6D" w:rsidRDefault="005C3B6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5C3B6D" w:rsidTr="00A75E73">
        <w:trPr>
          <w:trHeight w:val="3181"/>
          <w:jc w:val="center"/>
        </w:trPr>
        <w:tc>
          <w:tcPr>
            <w:tcW w:w="1528" w:type="dxa"/>
            <w:gridSpan w:val="2"/>
            <w:vAlign w:val="center"/>
          </w:tcPr>
          <w:p w:rsidR="005C3B6D" w:rsidRDefault="005C3B6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5C3B6D" w:rsidRDefault="005C3B6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5C3B6D" w:rsidRDefault="005C3B6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582" w:type="dxa"/>
            <w:gridSpan w:val="6"/>
            <w:vAlign w:val="center"/>
          </w:tcPr>
          <w:p w:rsidR="005C3B6D" w:rsidRDefault="005C3B6D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5C3B6D" w:rsidTr="00A75E73">
        <w:trPr>
          <w:trHeight w:val="3318"/>
          <w:jc w:val="center"/>
        </w:trPr>
        <w:tc>
          <w:tcPr>
            <w:tcW w:w="1528" w:type="dxa"/>
            <w:gridSpan w:val="2"/>
            <w:vAlign w:val="center"/>
          </w:tcPr>
          <w:p w:rsidR="005C3B6D" w:rsidRDefault="005C3B6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5C3B6D" w:rsidRDefault="005C3B6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582" w:type="dxa"/>
            <w:gridSpan w:val="6"/>
            <w:vAlign w:val="center"/>
          </w:tcPr>
          <w:p w:rsidR="005C3B6D" w:rsidRDefault="005C3B6D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2F2F24" w:rsidRDefault="005F7068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2F2F24" w:rsidRDefault="005F706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2F2F24" w:rsidRDefault="005F7068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p w:rsidR="002F2F24" w:rsidRDefault="005F7068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3.部门预算项目以二级项目填报，市对下专项转移支付项目、具有特定用途和具体使用目标的共同事权类一般性转移支付以</w:t>
      </w:r>
      <w:proofErr w:type="gramStart"/>
      <w:r>
        <w:rPr>
          <w:rFonts w:ascii="仿宋_GB2312" w:eastAsia="仿宋_GB2312" w:hAnsi="宋体" w:cs="仿宋_GB2312" w:hint="eastAsia"/>
          <w:kern w:val="0"/>
        </w:rPr>
        <w:t>一级项目</w:t>
      </w:r>
      <w:proofErr w:type="gramEnd"/>
      <w:r>
        <w:rPr>
          <w:rFonts w:ascii="仿宋_GB2312" w:eastAsia="仿宋_GB2312" w:hAnsi="宋体" w:cs="仿宋_GB2312" w:hint="eastAsia"/>
          <w:kern w:val="0"/>
        </w:rPr>
        <w:t>填报。</w:t>
      </w:r>
    </w:p>
    <w:p w:rsidR="002F2F24" w:rsidRDefault="002F2F24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</w:p>
    <w:p w:rsidR="002F2F24" w:rsidRDefault="002F2F24">
      <w:bookmarkStart w:id="0" w:name="_GoBack"/>
      <w:bookmarkEnd w:id="0"/>
    </w:p>
    <w:sectPr w:rsidR="002F2F24" w:rsidSect="002F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77" w:rsidRDefault="00521877" w:rsidP="00A75E73">
      <w:r>
        <w:separator/>
      </w:r>
    </w:p>
  </w:endnote>
  <w:endnote w:type="continuationSeparator" w:id="0">
    <w:p w:rsidR="00521877" w:rsidRDefault="00521877" w:rsidP="00A7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77" w:rsidRDefault="00521877" w:rsidP="00A75E73">
      <w:r>
        <w:separator/>
      </w:r>
    </w:p>
  </w:footnote>
  <w:footnote w:type="continuationSeparator" w:id="0">
    <w:p w:rsidR="00521877" w:rsidRDefault="00521877" w:rsidP="00A75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5NWY5NWI2NTQ2NDUxNDk2ZTRkMzcwNWQ5YTNlNzQifQ=="/>
  </w:docVars>
  <w:rsids>
    <w:rsidRoot w:val="7CBC07A3"/>
    <w:rsid w:val="002F2F24"/>
    <w:rsid w:val="00434CF5"/>
    <w:rsid w:val="00521877"/>
    <w:rsid w:val="005C3B6D"/>
    <w:rsid w:val="005F7068"/>
    <w:rsid w:val="00A75E73"/>
    <w:rsid w:val="00C94CBF"/>
    <w:rsid w:val="7CBC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F2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5E73"/>
    <w:rPr>
      <w:kern w:val="2"/>
      <w:sz w:val="18"/>
      <w:szCs w:val="18"/>
    </w:rPr>
  </w:style>
  <w:style w:type="paragraph" w:styleId="a4">
    <w:name w:val="footer"/>
    <w:basedOn w:val="a"/>
    <w:link w:val="Char0"/>
    <w:rsid w:val="00A7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5E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汪川和</dc:creator>
  <cp:lastModifiedBy>a</cp:lastModifiedBy>
  <cp:revision>4</cp:revision>
  <dcterms:created xsi:type="dcterms:W3CDTF">2024-04-10T08:42:00Z</dcterms:created>
  <dcterms:modified xsi:type="dcterms:W3CDTF">2024-04-13T01:45:00Z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9C85C67E92AC49D0B221BD5CD6AB4E64_11</vt:lpwstr>
  </property>
</Properties>
</file>