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宋体" w:hAnsi="宋体" w:eastAsia="宋体" w:cs="宋体"/>
          <w:sz w:val="36"/>
          <w:szCs w:val="36"/>
          <w:lang w:val="en-US" w:eastAsia="zh-CN"/>
        </w:rPr>
        <w:t>2023</w:t>
      </w:r>
      <w:r>
        <w:rPr>
          <w:rFonts w:hint="eastAsia" w:ascii="宋体" w:hAnsi="宋体" w:eastAsia="宋体" w:cs="宋体"/>
          <w:sz w:val="36"/>
          <w:szCs w:val="36"/>
        </w:rPr>
        <w:t>年度</w:t>
      </w:r>
      <w:r>
        <w:rPr>
          <w:rFonts w:hint="eastAsia" w:ascii="宋体" w:hAnsi="宋体" w:eastAsia="宋体" w:cs="宋体"/>
          <w:kern w:val="0"/>
          <w:sz w:val="36"/>
          <w:szCs w:val="36"/>
          <w:lang w:eastAsia="zh-CN"/>
        </w:rPr>
        <w:t>生活饮用水卫生监测</w:t>
      </w:r>
      <w:r>
        <w:rPr>
          <w:rFonts w:hint="eastAsia" w:ascii="宋体" w:hAnsi="宋体" w:eastAsia="宋体" w:cs="宋体"/>
          <w:sz w:val="36"/>
          <w:szCs w:val="36"/>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生活饮用水卫生监测</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94</w:t>
            </w:r>
          </w:p>
        </w:tc>
        <w:tc>
          <w:tcPr>
            <w:tcW w:w="1680" w:type="dxa"/>
            <w:gridSpan w:val="2"/>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60.08</w:t>
            </w:r>
          </w:p>
        </w:tc>
        <w:tc>
          <w:tcPr>
            <w:tcW w:w="3014" w:type="dxa"/>
            <w:gridSpan w:val="2"/>
            <w:vAlign w:val="center"/>
          </w:tcPr>
          <w:p>
            <w:pPr>
              <w:widowControl/>
              <w:snapToGrid w:val="0"/>
              <w:jc w:val="center"/>
              <w:rPr>
                <w:rFonts w:hint="default" w:ascii="仿宋_GB2312" w:hAnsi="宋体" w:eastAsia="仿宋_GB2312" w:cs="Times New Roman"/>
                <w:color w:val="000000" w:themeColor="text1"/>
                <w:kern w:val="0"/>
                <w:lang w:val="en-US" w:eastAsia="zh-CN"/>
                <w14:textFill>
                  <w14:solidFill>
                    <w14:schemeClr w14:val="tx1"/>
                  </w14:solidFill>
                </w14:textFill>
              </w:rPr>
            </w:pPr>
            <w:r>
              <w:rPr>
                <w:rFonts w:hint="eastAsia" w:ascii="仿宋_GB2312" w:hAnsi="宋体" w:eastAsia="仿宋_GB2312" w:cs="Times New Roman"/>
                <w:color w:val="000000" w:themeColor="text1"/>
                <w:kern w:val="0"/>
                <w:lang w:val="en-US" w:eastAsia="zh-CN"/>
                <w14:textFill>
                  <w14:solidFill>
                    <w14:schemeClr w14:val="tx1"/>
                  </w14:solidFill>
                </w14:textFill>
              </w:rPr>
              <w:t>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color w:val="000000" w:themeColor="text1"/>
                <w:kern w:val="0"/>
                <w:sz w:val="21"/>
                <w:szCs w:val="22"/>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数量指标</w:t>
            </w:r>
          </w:p>
        </w:tc>
        <w:tc>
          <w:tcPr>
            <w:tcW w:w="3284" w:type="dxa"/>
            <w:gridSpan w:val="3"/>
            <w:vAlign w:val="center"/>
          </w:tcPr>
          <w:p>
            <w:pPr>
              <w:widowControl/>
              <w:snapToGrid w:val="0"/>
              <w:jc w:val="center"/>
              <w:rPr>
                <w:rFonts w:ascii="仿宋_GB2312" w:hAnsi="宋体" w:eastAsia="仿宋_GB2312" w:cs="Times New Roman"/>
                <w:color w:val="000000" w:themeColor="text1"/>
                <w:kern w:val="0"/>
                <w:sz w:val="21"/>
                <w:szCs w:val="22"/>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指标1：每日主城区监测五个点5个样</w:t>
            </w:r>
          </w:p>
        </w:tc>
        <w:tc>
          <w:tcPr>
            <w:tcW w:w="1478" w:type="dxa"/>
            <w:vAlign w:val="center"/>
          </w:tcPr>
          <w:p>
            <w:pPr>
              <w:widowControl/>
              <w:snapToGrid w:val="0"/>
              <w:jc w:val="center"/>
              <w:rPr>
                <w:rFonts w:ascii="仿宋_GB2312" w:hAnsi="宋体" w:eastAsia="仿宋_GB2312" w:cs="Times New Roman"/>
                <w:color w:val="000000" w:themeColor="text1"/>
                <w:kern w:val="0"/>
                <w:sz w:val="21"/>
                <w:szCs w:val="22"/>
                <w:lang w:val="en-US" w:eastAsia="zh-CN" w:bidi="ar-SA"/>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7300</w:t>
            </w:r>
          </w:p>
        </w:tc>
        <w:tc>
          <w:tcPr>
            <w:tcW w:w="1536" w:type="dxa"/>
            <w:vAlign w:val="center"/>
          </w:tcPr>
          <w:p>
            <w:pPr>
              <w:widowControl/>
              <w:snapToGrid w:val="0"/>
              <w:jc w:val="center"/>
              <w:rPr>
                <w:rFonts w:ascii="仿宋_GB2312" w:hAnsi="宋体" w:eastAsia="仿宋_GB2312" w:cs="Times New Roman"/>
                <w:color w:val="000000" w:themeColor="text1"/>
                <w:kern w:val="0"/>
                <w:sz w:val="21"/>
                <w:szCs w:val="22"/>
                <w:lang w:val="en-US" w:eastAsia="zh-CN" w:bidi="ar-SA"/>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质量指标</w:t>
            </w: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3284" w:type="dxa"/>
            <w:gridSpan w:val="3"/>
            <w:vAlign w:val="center"/>
          </w:tcPr>
          <w:p>
            <w:pPr>
              <w:widowControl/>
              <w:spacing w:line="240" w:lineRule="exact"/>
              <w:jc w:val="lef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指标1：每日监测</w:t>
            </w:r>
          </w:p>
        </w:tc>
        <w:tc>
          <w:tcPr>
            <w:tcW w:w="1478"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w:t>
            </w:r>
          </w:p>
        </w:tc>
        <w:tc>
          <w:tcPr>
            <w:tcW w:w="1536"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color w:val="000000" w:themeColor="text1"/>
                <w:kern w:val="0"/>
                <w:sz w:val="18"/>
                <w:szCs w:val="18"/>
                <w:lang w:val="en-US" w:eastAsia="zh-CN" w:bidi="ar-SA"/>
                <w14:textFill>
                  <w14:solidFill>
                    <w14:schemeClr w14:val="tx1"/>
                  </w14:solidFill>
                </w14:textFill>
              </w:rPr>
            </w:pPr>
          </w:p>
        </w:tc>
        <w:tc>
          <w:tcPr>
            <w:tcW w:w="3284" w:type="dxa"/>
            <w:gridSpan w:val="3"/>
            <w:vAlign w:val="center"/>
          </w:tcPr>
          <w:p>
            <w:pPr>
              <w:widowControl/>
              <w:spacing w:line="240" w:lineRule="exact"/>
              <w:jc w:val="left"/>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478"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536"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w:t>
            </w:r>
          </w:p>
        </w:tc>
        <w:tc>
          <w:tcPr>
            <w:tcW w:w="3284" w:type="dxa"/>
            <w:gridSpan w:val="3"/>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p>
        </w:tc>
        <w:tc>
          <w:tcPr>
            <w:tcW w:w="1478"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p>
        </w:tc>
        <w:tc>
          <w:tcPr>
            <w:tcW w:w="1536"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社会效益</w:t>
            </w:r>
          </w:p>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指标</w:t>
            </w:r>
          </w:p>
        </w:tc>
        <w:tc>
          <w:tcPr>
            <w:tcW w:w="3284" w:type="dxa"/>
            <w:gridSpan w:val="3"/>
            <w:vAlign w:val="center"/>
          </w:tcPr>
          <w:p>
            <w:pPr>
              <w:widowControl/>
              <w:spacing w:line="240" w:lineRule="exact"/>
              <w:jc w:val="lef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指标1：.掌握全市饮用水卫生状况</w:t>
            </w:r>
          </w:p>
        </w:tc>
        <w:tc>
          <w:tcPr>
            <w:tcW w:w="1478"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良好</w:t>
            </w:r>
          </w:p>
        </w:tc>
        <w:tc>
          <w:tcPr>
            <w:tcW w:w="1536"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pacing w:line="240" w:lineRule="exact"/>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社会效益指标</w:t>
            </w:r>
          </w:p>
        </w:tc>
        <w:tc>
          <w:tcPr>
            <w:tcW w:w="3284" w:type="dxa"/>
            <w:gridSpan w:val="3"/>
            <w:vAlign w:val="center"/>
          </w:tcPr>
          <w:p>
            <w:pPr>
              <w:widowControl/>
              <w:spacing w:line="240" w:lineRule="exact"/>
              <w:jc w:val="lef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指标2：保障全市广大居民饮水安全</w:t>
            </w:r>
          </w:p>
        </w:tc>
        <w:tc>
          <w:tcPr>
            <w:tcW w:w="1478"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良好</w:t>
            </w:r>
          </w:p>
        </w:tc>
        <w:tc>
          <w:tcPr>
            <w:tcW w:w="1536" w:type="dxa"/>
            <w:vAlign w:val="center"/>
          </w:tcPr>
          <w:p>
            <w:pPr>
              <w:widowControl/>
              <w:spacing w:line="24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18"/>
                <w:szCs w:val="18"/>
                <w14:textFill>
                  <w14:solidFill>
                    <w14:schemeClr w14:val="tx1"/>
                  </w14:solidFill>
                </w14:textFill>
              </w:rPr>
              <w:t>及时性</w:t>
            </w:r>
          </w:p>
        </w:tc>
        <w:tc>
          <w:tcPr>
            <w:tcW w:w="3284" w:type="dxa"/>
            <w:gridSpan w:val="3"/>
            <w:vAlign w:val="center"/>
          </w:tcPr>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18"/>
                <w:szCs w:val="18"/>
                <w14:textFill>
                  <w14:solidFill>
                    <w14:schemeClr w14:val="tx1"/>
                  </w14:solidFill>
                </w14:textFill>
              </w:rPr>
              <w:t>及时</w:t>
            </w:r>
          </w:p>
        </w:tc>
        <w:tc>
          <w:tcPr>
            <w:tcW w:w="1478" w:type="dxa"/>
            <w:vAlign w:val="center"/>
          </w:tcPr>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18"/>
                <w:szCs w:val="18"/>
                <w14:textFill>
                  <w14:solidFill>
                    <w14:schemeClr w14:val="tx1"/>
                  </w14:solidFill>
                </w14:textFill>
              </w:rPr>
              <w:t>及时</w:t>
            </w:r>
          </w:p>
        </w:tc>
        <w:tc>
          <w:tcPr>
            <w:tcW w:w="1536" w:type="dxa"/>
            <w:vAlign w:val="center"/>
          </w:tcPr>
          <w:p>
            <w:pPr>
              <w:widowControl/>
              <w:snapToGrid w:val="0"/>
              <w:jc w:val="center"/>
              <w:rPr>
                <w:rFonts w:ascii="仿宋_GB2312" w:hAnsi="宋体" w:eastAsia="仿宋_GB2312" w:cs="Times New Roman"/>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18"/>
                <w:szCs w:val="18"/>
                <w14:textFill>
                  <w14:solidFill>
                    <w14:schemeClr w14:val="tx1"/>
                  </w14:solidFill>
                </w14:textFill>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w:t>
            </w:r>
          </w:p>
        </w:tc>
        <w:tc>
          <w:tcPr>
            <w:tcW w:w="3284" w:type="dxa"/>
            <w:gridSpan w:val="3"/>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p>
        </w:tc>
        <w:tc>
          <w:tcPr>
            <w:tcW w:w="1478"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p>
        </w:tc>
        <w:tc>
          <w:tcPr>
            <w:tcW w:w="1536" w:type="dxa"/>
            <w:vAlign w:val="center"/>
          </w:tcPr>
          <w:p>
            <w:pPr>
              <w:widowControl/>
              <w:snapToGrid w:val="0"/>
              <w:jc w:val="center"/>
              <w:rPr>
                <w:rFonts w:ascii="仿宋_GB2312" w:hAnsi="宋体" w:eastAsia="仿宋_GB2312" w:cs="Times New Roman"/>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服务对象满意度指标</w:t>
            </w:r>
            <w:r>
              <w:rPr>
                <w:rFonts w:hint="eastAsia" w:ascii="仿宋_GB2312" w:hAnsi="宋体" w:eastAsia="仿宋_GB2312" w:cs="仿宋_GB2312"/>
                <w:color w:val="000000" w:themeColor="text1"/>
                <w:kern w:val="0"/>
                <w:sz w:val="18"/>
                <w:szCs w:val="18"/>
                <w14:textFill>
                  <w14:solidFill>
                    <w14:schemeClr w14:val="tx1"/>
                  </w14:solidFill>
                </w14:textFill>
              </w:rPr>
              <w:t>……</w:t>
            </w:r>
          </w:p>
        </w:tc>
        <w:tc>
          <w:tcPr>
            <w:tcW w:w="3284" w:type="dxa"/>
            <w:gridSpan w:val="3"/>
            <w:vAlign w:val="center"/>
          </w:tcPr>
          <w:p>
            <w:pPr>
              <w:widowControl/>
              <w:snapToGrid w:val="0"/>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全市居民饮用水</w:t>
            </w:r>
          </w:p>
        </w:tc>
        <w:tc>
          <w:tcPr>
            <w:tcW w:w="1478" w:type="dxa"/>
            <w:vAlign w:val="top"/>
          </w:tcPr>
          <w:p>
            <w:pP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≥90%</w:t>
            </w:r>
          </w:p>
        </w:tc>
        <w:tc>
          <w:tcPr>
            <w:tcW w:w="1536" w:type="dxa"/>
            <w:vAlign w:val="top"/>
          </w:tcPr>
          <w:p>
            <w:pPr>
              <w:rPr>
                <w:rFonts w:ascii="宋体" w:hAnsi="宋体" w:eastAsia="宋体" w:cs="宋体"/>
                <w:color w:val="000000" w:themeColor="text1"/>
                <w:kern w:val="0"/>
                <w:sz w:val="18"/>
                <w:szCs w:val="18"/>
                <w:lang w:val="en-US" w:eastAsia="zh-CN" w:bidi="ar-SA"/>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color w:val="E54C5E" w:themeColor="accent6"/>
                <w:kern w:val="0"/>
                <w14:textFill>
                  <w14:solidFill>
                    <w14:schemeClr w14:val="accent6"/>
                  </w14:solidFill>
                </w14:textFill>
              </w:rPr>
            </w:pPr>
            <w:r>
              <w:rPr>
                <w:rFonts w:hint="eastAsia" w:ascii="仿宋_GB2312" w:hAnsi="宋体" w:eastAsia="仿宋_GB2312" w:cs="仿宋_GB2312"/>
                <w:color w:val="E54C5E" w:themeColor="accent6"/>
                <w:kern w:val="0"/>
                <w14:textFill>
                  <w14:solidFill>
                    <w14:schemeClr w14:val="accent6"/>
                  </w14:solidFill>
                </w14:textFill>
              </w:rPr>
              <w:t>……</w:t>
            </w:r>
          </w:p>
        </w:tc>
        <w:tc>
          <w:tcPr>
            <w:tcW w:w="3284" w:type="dxa"/>
            <w:gridSpan w:val="3"/>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478"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536"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3284" w:type="dxa"/>
            <w:gridSpan w:val="3"/>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478"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536"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生活饮用水卫生监测资金主要是因合同原因，设备</w:t>
            </w:r>
            <w:r>
              <w:rPr>
                <w:rFonts w:hint="eastAsia" w:ascii="仿宋_GB2312" w:hAnsi="宋体" w:eastAsia="仿宋_GB2312" w:cs="仿宋_GB2312"/>
                <w:kern w:val="0"/>
                <w:lang w:val="en-US" w:eastAsia="zh-CN"/>
              </w:rPr>
              <w:t>9.6万</w:t>
            </w:r>
            <w:r>
              <w:rPr>
                <w:rFonts w:hint="eastAsia" w:ascii="仿宋_GB2312" w:hAnsi="宋体" w:eastAsia="仿宋_GB2312" w:cs="仿宋_GB2312"/>
                <w:kern w:val="0"/>
                <w:lang w:eastAsia="zh-CN"/>
              </w:rPr>
              <w:t>、试剂</w:t>
            </w:r>
            <w:r>
              <w:rPr>
                <w:rFonts w:hint="eastAsia" w:ascii="仿宋_GB2312" w:hAnsi="宋体" w:eastAsia="仿宋_GB2312" w:cs="仿宋_GB2312"/>
                <w:kern w:val="0"/>
                <w:lang w:val="en-US" w:eastAsia="zh-CN"/>
              </w:rPr>
              <w:t>5万、外包劳务费8.6万次年结算。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32276A00"/>
    <w:rsid w:val="3F5F4C0D"/>
    <w:rsid w:val="49101673"/>
    <w:rsid w:val="4B042F54"/>
    <w:rsid w:val="574F5611"/>
    <w:rsid w:val="577C0C48"/>
    <w:rsid w:val="59A31561"/>
    <w:rsid w:val="71307C9D"/>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2024-05-15T03:20:08Z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