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b w:val="0"/>
          <w:bCs w:val="0"/>
          <w:sz w:val="36"/>
          <w:szCs w:val="36"/>
        </w:rPr>
      </w:pPr>
      <w:r>
        <w:rPr>
          <w:rFonts w:hint="eastAsia" w:ascii="方正小标宋简体" w:hAnsi="宋体" w:eastAsia="方正小标宋简体" w:cs="方正小标宋简体"/>
          <w:b w:val="0"/>
          <w:bCs w:val="0"/>
          <w:sz w:val="36"/>
          <w:szCs w:val="36"/>
          <w:lang w:val="en-US" w:eastAsia="zh-CN"/>
        </w:rPr>
        <w:t>2023</w:t>
      </w:r>
      <w:r>
        <w:rPr>
          <w:rFonts w:hint="eastAsia" w:ascii="方正小标宋简体" w:hAnsi="宋体" w:eastAsia="方正小标宋简体" w:cs="方正小标宋简体"/>
          <w:b w:val="0"/>
          <w:bCs w:val="0"/>
          <w:sz w:val="36"/>
          <w:szCs w:val="36"/>
        </w:rPr>
        <w:t>年度</w:t>
      </w:r>
      <w:r>
        <w:rPr>
          <w:rFonts w:hint="eastAsia" w:ascii="宋体" w:hAnsi="宋体" w:eastAsia="宋体" w:cs="仿宋_GB2312"/>
          <w:b w:val="0"/>
          <w:bCs w:val="0"/>
          <w:kern w:val="0"/>
          <w:sz w:val="36"/>
          <w:szCs w:val="36"/>
        </w:rPr>
        <w:t>结核</w:t>
      </w:r>
      <w:r>
        <w:rPr>
          <w:rFonts w:ascii="仿宋_GB2312" w:hAnsi="宋体" w:eastAsia="仿宋_GB2312" w:cs="仿宋_GB2312"/>
          <w:b w:val="0"/>
          <w:bCs w:val="0"/>
          <w:color w:val="000000"/>
          <w:sz w:val="36"/>
          <w:szCs w:val="36"/>
        </w:rPr>
        <w:t>病防治</w:t>
      </w:r>
      <w:r>
        <w:rPr>
          <w:rFonts w:hint="eastAsia" w:ascii="方正小标宋简体" w:hAnsi="宋体" w:eastAsia="方正小标宋简体" w:cs="方正小标宋简体"/>
          <w:b w:val="0"/>
          <w:bCs w:val="0"/>
          <w:sz w:val="36"/>
          <w:szCs w:val="36"/>
        </w:rPr>
        <w:t>项目自评表</w:t>
      </w:r>
    </w:p>
    <w:p>
      <w:pPr>
        <w:rPr>
          <w:rFonts w:cs="Times New Roman"/>
          <w:b w:val="0"/>
          <w:bCs w:val="0"/>
          <w:sz w:val="36"/>
          <w:szCs w:val="36"/>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rPr>
              <w:t>结核</w:t>
            </w:r>
            <w:r>
              <w:rPr>
                <w:rFonts w:ascii="仿宋_GB2312" w:hAnsi="宋体" w:eastAsia="仿宋_GB2312" w:cs="仿宋_GB2312"/>
                <w:color w:val="000000"/>
                <w:sz w:val="24"/>
              </w:rPr>
              <w:t>病防治</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15</w:t>
            </w:r>
          </w:p>
        </w:tc>
        <w:tc>
          <w:tcPr>
            <w:tcW w:w="1680"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9</w:t>
            </w:r>
          </w:p>
        </w:tc>
        <w:tc>
          <w:tcPr>
            <w:tcW w:w="3014"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18"/>
                <w:szCs w:val="18"/>
                <w:lang w:val="en-US" w:eastAsia="zh-CN" w:bidi="ar-SA"/>
              </w:rPr>
            </w:pPr>
            <w:r>
              <w:rPr>
                <w:rFonts w:hint="eastAsia" w:ascii="仿宋_GB2312" w:hAnsi="宋体" w:eastAsia="仿宋_GB2312" w:cs="Times New Roman"/>
                <w:kern w:val="0"/>
                <w:sz w:val="18"/>
                <w:szCs w:val="18"/>
              </w:rPr>
              <w:t>数量指标</w:t>
            </w:r>
          </w:p>
        </w:tc>
        <w:tc>
          <w:tcPr>
            <w:tcW w:w="3284" w:type="dxa"/>
            <w:gridSpan w:val="3"/>
            <w:vAlign w:val="center"/>
          </w:tcPr>
          <w:p>
            <w:pPr>
              <w:widowControl/>
              <w:snapToGrid w:val="0"/>
              <w:jc w:val="center"/>
              <w:rPr>
                <w:rFonts w:ascii="仿宋_GB2312" w:hAnsi="宋体" w:eastAsia="仿宋_GB2312" w:cs="Times New Roman"/>
                <w:kern w:val="0"/>
                <w:sz w:val="18"/>
                <w:szCs w:val="18"/>
                <w:lang w:val="en-US" w:eastAsia="zh-CN" w:bidi="ar-SA"/>
              </w:rPr>
            </w:pPr>
            <w:r>
              <w:rPr>
                <w:rFonts w:hint="eastAsia" w:ascii="仿宋_GB2312" w:hAnsi="宋体" w:eastAsia="仿宋_GB2312" w:cs="Times New Roman"/>
                <w:kern w:val="0"/>
                <w:sz w:val="18"/>
                <w:szCs w:val="18"/>
              </w:rPr>
              <w:t>1.初诊筛查疑似肺结核患者高危人群监测</w:t>
            </w:r>
          </w:p>
        </w:tc>
        <w:tc>
          <w:tcPr>
            <w:tcW w:w="1478" w:type="dxa"/>
            <w:vAlign w:val="center"/>
          </w:tcPr>
          <w:p>
            <w:pPr>
              <w:widowControl/>
              <w:snapToGrid w:val="0"/>
              <w:jc w:val="center"/>
              <w:rPr>
                <w:rFonts w:ascii="仿宋_GB2312" w:hAnsi="宋体" w:eastAsia="仿宋_GB2312" w:cs="Times New Roman"/>
                <w:kern w:val="0"/>
                <w:sz w:val="18"/>
                <w:szCs w:val="18"/>
                <w:lang w:val="en-US" w:eastAsia="zh-CN" w:bidi="ar-SA"/>
              </w:rPr>
            </w:pPr>
            <w:r>
              <w:rPr>
                <w:rFonts w:hint="eastAsia" w:ascii="仿宋_GB2312" w:hAnsi="宋体" w:eastAsia="仿宋_GB2312" w:cs="Times New Roman"/>
                <w:kern w:val="0"/>
                <w:sz w:val="18"/>
                <w:szCs w:val="18"/>
              </w:rPr>
              <w:t>3330</w:t>
            </w:r>
            <w:r>
              <w:rPr>
                <w:rFonts w:hint="eastAsia" w:ascii="宋体" w:hAnsi="宋体" w:eastAsia="宋体" w:cs="仿宋_GB2312"/>
                <w:kern w:val="0"/>
              </w:rPr>
              <w:t>人次</w:t>
            </w:r>
          </w:p>
        </w:tc>
        <w:tc>
          <w:tcPr>
            <w:tcW w:w="1536" w:type="dxa"/>
            <w:vAlign w:val="center"/>
          </w:tcPr>
          <w:p>
            <w:pPr>
              <w:widowControl/>
              <w:spacing w:line="240" w:lineRule="exact"/>
              <w:jc w:val="center"/>
              <w:rPr>
                <w:rFonts w:ascii="仿宋_GB2312" w:hAnsi="宋体" w:eastAsia="宋体" w:cs="Times New Roman"/>
                <w:kern w:val="0"/>
                <w:sz w:val="18"/>
                <w:szCs w:val="18"/>
                <w:lang w:val="en-US" w:eastAsia="zh-CN" w:bidi="ar-SA"/>
              </w:rPr>
            </w:pPr>
            <w:r>
              <w:rPr>
                <w:rFonts w:hint="eastAsia" w:ascii="仿宋_GB2312" w:hAnsi="宋体" w:eastAsia="仿宋_GB2312" w:cs="Times New Roman"/>
                <w:kern w:val="0"/>
                <w:sz w:val="18"/>
                <w:szCs w:val="18"/>
              </w:rPr>
              <w:t>3</w:t>
            </w:r>
            <w:r>
              <w:rPr>
                <w:rFonts w:hint="eastAsia" w:ascii="仿宋_GB2312" w:hAnsi="宋体" w:eastAsia="仿宋_GB2312" w:cs="Times New Roman"/>
                <w:kern w:val="0"/>
                <w:sz w:val="18"/>
                <w:szCs w:val="18"/>
                <w:lang w:val="en-US" w:eastAsia="zh-CN"/>
              </w:rPr>
              <w:t>363</w:t>
            </w:r>
            <w:r>
              <w:rPr>
                <w:rFonts w:hint="eastAsia" w:ascii="宋体" w:hAnsi="宋体" w:eastAsia="宋体" w:cs="仿宋_GB2312"/>
                <w:kern w:val="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sz w:val="18"/>
                <w:szCs w:val="18"/>
              </w:rPr>
              <w:t>数量指标</w:t>
            </w:r>
            <w:r>
              <w:rPr>
                <w:rFonts w:hint="eastAsia" w:ascii="仿宋_GB2312" w:hAnsi="宋体" w:eastAsia="仿宋_GB2312" w:cs="仿宋_GB2312"/>
                <w:color w:val="auto"/>
                <w:kern w:val="0"/>
                <w:sz w:val="18"/>
                <w:szCs w:val="18"/>
              </w:rPr>
              <w:t>…</w:t>
            </w:r>
          </w:p>
        </w:tc>
        <w:tc>
          <w:tcPr>
            <w:tcW w:w="3284" w:type="dxa"/>
            <w:gridSpan w:val="3"/>
            <w:vAlign w:val="center"/>
          </w:tcPr>
          <w:p>
            <w:pPr>
              <w:widowControl/>
              <w:jc w:val="center"/>
              <w:rPr>
                <w:rFonts w:ascii="宋体" w:hAnsi="宋体" w:eastAsia="宋体" w:cs="仿宋_GB2312"/>
                <w:color w:val="auto"/>
                <w:kern w:val="0"/>
                <w:sz w:val="21"/>
                <w:szCs w:val="22"/>
                <w:lang w:val="en-US" w:eastAsia="zh-CN" w:bidi="ar-SA"/>
              </w:rPr>
            </w:pPr>
            <w:r>
              <w:rPr>
                <w:rFonts w:hint="eastAsia" w:ascii="宋体" w:hAnsi="宋体" w:eastAsia="宋体" w:cs="仿宋_GB2312"/>
                <w:color w:val="auto"/>
                <w:kern w:val="0"/>
              </w:rPr>
              <w:t>登记确诊肺结核患者　　</w:t>
            </w:r>
          </w:p>
        </w:tc>
        <w:tc>
          <w:tcPr>
            <w:tcW w:w="1478" w:type="dxa"/>
            <w:vAlign w:val="center"/>
          </w:tcPr>
          <w:p>
            <w:pPr>
              <w:widowControl/>
              <w:jc w:val="center"/>
              <w:rPr>
                <w:rFonts w:ascii="宋体" w:hAnsi="宋体" w:eastAsia="宋体" w:cs="Times New Roman"/>
                <w:color w:val="auto"/>
                <w:kern w:val="0"/>
                <w:sz w:val="21"/>
                <w:szCs w:val="22"/>
                <w:lang w:val="en-US" w:eastAsia="zh-CN" w:bidi="ar-SA"/>
              </w:rPr>
            </w:pPr>
            <w:r>
              <w:rPr>
                <w:rFonts w:hint="eastAsia" w:ascii="宋体" w:hAnsi="宋体" w:eastAsia="宋体" w:cs="仿宋_GB2312"/>
                <w:color w:val="auto"/>
                <w:kern w:val="0"/>
              </w:rPr>
              <w:t>560人次　</w:t>
            </w:r>
          </w:p>
        </w:tc>
        <w:tc>
          <w:tcPr>
            <w:tcW w:w="1536" w:type="dxa"/>
            <w:vAlign w:val="center"/>
          </w:tcPr>
          <w:p>
            <w:pPr>
              <w:widowControl/>
              <w:spacing w:line="240" w:lineRule="exact"/>
              <w:ind w:firstLine="360" w:firstLineChars="200"/>
              <w:rPr>
                <w:rFonts w:hint="default"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color w:val="auto"/>
                <w:kern w:val="0"/>
                <w:sz w:val="18"/>
                <w:szCs w:val="18"/>
                <w:lang w:val="en-US" w:eastAsia="zh-CN" w:bidi="ar-SA"/>
              </w:rPr>
              <w:t>570</w:t>
            </w:r>
            <w:r>
              <w:rPr>
                <w:rFonts w:hint="eastAsia" w:ascii="宋体" w:hAnsi="宋体" w:eastAsia="宋体" w:cs="仿宋_GB2312"/>
                <w:color w:val="auto"/>
                <w:kern w:val="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仿宋_GB2312"/>
                <w:color w:val="auto"/>
                <w:kern w:val="0"/>
                <w:sz w:val="18"/>
                <w:szCs w:val="18"/>
                <w:lang w:val="en-US" w:eastAsia="zh-CN" w:bidi="ar-SA"/>
              </w:rPr>
            </w:pPr>
          </w:p>
        </w:tc>
        <w:tc>
          <w:tcPr>
            <w:tcW w:w="3284" w:type="dxa"/>
            <w:gridSpan w:val="3"/>
            <w:vAlign w:val="center"/>
          </w:tcPr>
          <w:p>
            <w:pPr>
              <w:widowControl/>
              <w:spacing w:line="240" w:lineRule="exact"/>
              <w:jc w:val="left"/>
              <w:rPr>
                <w:rFonts w:ascii="宋体" w:hAnsi="宋体" w:eastAsia="宋体" w:cs="宋体"/>
                <w:color w:val="auto"/>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w:t>
            </w:r>
          </w:p>
        </w:tc>
        <w:tc>
          <w:tcPr>
            <w:tcW w:w="3284" w:type="dxa"/>
            <w:gridSpan w:val="3"/>
            <w:vAlign w:val="center"/>
          </w:tcPr>
          <w:p>
            <w:pPr>
              <w:widowControl/>
              <w:snapToGrid w:val="0"/>
              <w:jc w:val="center"/>
              <w:rPr>
                <w:rFonts w:ascii="仿宋_GB2312" w:hAnsi="宋体" w:eastAsia="仿宋_GB2312" w:cs="Times New Roman"/>
                <w:color w:val="auto"/>
                <w:kern w:val="0"/>
              </w:rPr>
            </w:pPr>
          </w:p>
        </w:tc>
        <w:tc>
          <w:tcPr>
            <w:tcW w:w="1478" w:type="dxa"/>
            <w:vAlign w:val="center"/>
          </w:tcPr>
          <w:p>
            <w:pPr>
              <w:widowControl/>
              <w:snapToGrid w:val="0"/>
              <w:jc w:val="center"/>
              <w:rPr>
                <w:rFonts w:ascii="仿宋_GB2312" w:hAnsi="宋体" w:eastAsia="仿宋_GB2312" w:cs="Times New Roman"/>
                <w:color w:val="auto"/>
                <w:kern w:val="0"/>
              </w:rPr>
            </w:pPr>
          </w:p>
        </w:tc>
        <w:tc>
          <w:tcPr>
            <w:tcW w:w="1536" w:type="dxa"/>
            <w:vAlign w:val="center"/>
          </w:tcPr>
          <w:p>
            <w:pPr>
              <w:widowControl/>
              <w:snapToGrid w:val="0"/>
              <w:jc w:val="center"/>
              <w:rPr>
                <w:rFonts w:ascii="仿宋_GB2312" w:hAnsi="宋体"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restart"/>
            <w:vAlign w:val="center"/>
          </w:tcPr>
          <w:p>
            <w:pPr>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效益指标</w:t>
            </w:r>
          </w:p>
        </w:tc>
        <w:tc>
          <w:tcPr>
            <w:tcW w:w="1122" w:type="dxa"/>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napToGrid w:val="0"/>
              <w:jc w:val="center"/>
              <w:rPr>
                <w:rFonts w:ascii="仿宋_GB2312" w:hAnsi="宋体" w:eastAsia="仿宋_GB2312" w:cs="Times New Roman"/>
                <w:color w:val="auto"/>
                <w:kern w:val="0"/>
                <w:sz w:val="18"/>
                <w:szCs w:val="18"/>
                <w:lang w:val="en-US" w:eastAsia="zh-CN" w:bidi="ar-SA"/>
              </w:rPr>
            </w:pPr>
            <w:r>
              <w:rPr>
                <w:rFonts w:hint="eastAsia" w:ascii="宋体" w:hAnsi="宋体" w:eastAsia="宋体" w:cs="宋体"/>
                <w:color w:val="auto"/>
                <w:kern w:val="0"/>
                <w:sz w:val="18"/>
                <w:szCs w:val="18"/>
              </w:rPr>
              <w:t>指标</w:t>
            </w:r>
          </w:p>
        </w:tc>
        <w:tc>
          <w:tcPr>
            <w:tcW w:w="3284" w:type="dxa"/>
            <w:gridSpan w:val="3"/>
            <w:vAlign w:val="center"/>
          </w:tcPr>
          <w:p>
            <w:pPr>
              <w:widowControl/>
              <w:snapToGrid w:val="0"/>
              <w:jc w:val="center"/>
              <w:rPr>
                <w:rFonts w:ascii="仿宋_GB2312" w:hAnsi="宋体" w:eastAsia="仿宋_GB2312" w:cs="Times New Roman"/>
                <w:color w:val="auto"/>
                <w:kern w:val="0"/>
                <w:sz w:val="18"/>
                <w:szCs w:val="18"/>
                <w:lang w:val="en-US" w:eastAsia="zh-CN" w:bidi="ar-SA"/>
              </w:rPr>
            </w:pPr>
            <w:r>
              <w:rPr>
                <w:rFonts w:hint="eastAsia" w:ascii="仿宋_GB2312" w:hAnsi="宋体" w:eastAsia="仿宋_GB2312" w:cs="Times New Roman"/>
                <w:color w:val="auto"/>
                <w:kern w:val="0"/>
                <w:sz w:val="18"/>
                <w:szCs w:val="18"/>
              </w:rPr>
              <w:t>涂阳肺结核患者患病率</w:t>
            </w:r>
          </w:p>
        </w:tc>
        <w:tc>
          <w:tcPr>
            <w:tcW w:w="1478" w:type="dxa"/>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下降1.5%</w:t>
            </w:r>
          </w:p>
        </w:tc>
        <w:tc>
          <w:tcPr>
            <w:tcW w:w="1536" w:type="dxa"/>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下降1.6%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pacing w:line="240" w:lineRule="exact"/>
              <w:jc w:val="center"/>
              <w:rPr>
                <w:rFonts w:ascii="仿宋_GB2312" w:hAnsi="宋体" w:eastAsia="仿宋_GB2312" w:cs="Times New Roman"/>
                <w:color w:val="auto"/>
                <w:kern w:val="0"/>
                <w:sz w:val="18"/>
                <w:szCs w:val="18"/>
                <w:lang w:val="en-US" w:eastAsia="zh-CN" w:bidi="ar-SA"/>
              </w:rPr>
            </w:pPr>
          </w:p>
        </w:tc>
        <w:tc>
          <w:tcPr>
            <w:tcW w:w="3284" w:type="dxa"/>
            <w:gridSpan w:val="3"/>
            <w:vAlign w:val="center"/>
          </w:tcPr>
          <w:p>
            <w:pPr>
              <w:widowControl/>
              <w:jc w:val="center"/>
              <w:rPr>
                <w:rFonts w:ascii="宋体" w:hAnsi="宋体" w:eastAsia="宋体" w:cs="仿宋_GB2312"/>
                <w:color w:val="auto"/>
                <w:kern w:val="0"/>
                <w:sz w:val="21"/>
                <w:szCs w:val="22"/>
                <w:lang w:val="en-US" w:eastAsia="zh-CN" w:bidi="ar-SA"/>
              </w:rPr>
            </w:pPr>
            <w:r>
              <w:rPr>
                <w:rFonts w:hint="eastAsia" w:ascii="宋体" w:hAnsi="宋体" w:eastAsia="宋体" w:cs="仿宋_GB2312"/>
                <w:color w:val="auto"/>
                <w:kern w:val="0"/>
              </w:rPr>
              <w:t>感染者和病人随访比例　</w:t>
            </w:r>
          </w:p>
        </w:tc>
        <w:tc>
          <w:tcPr>
            <w:tcW w:w="1478" w:type="dxa"/>
            <w:vAlign w:val="center"/>
          </w:tcPr>
          <w:p>
            <w:pPr>
              <w:widowControl/>
              <w:jc w:val="center"/>
              <w:rPr>
                <w:rFonts w:ascii="宋体" w:hAnsi="宋体" w:eastAsia="宋体" w:cs="Times New Roman"/>
                <w:color w:val="auto"/>
                <w:kern w:val="0"/>
                <w:sz w:val="21"/>
                <w:szCs w:val="22"/>
                <w:lang w:val="en-US" w:eastAsia="zh-CN" w:bidi="ar-SA"/>
              </w:rPr>
            </w:pPr>
            <w:r>
              <w:rPr>
                <w:rFonts w:hint="eastAsia" w:ascii="宋体" w:hAnsi="宋体" w:eastAsia="宋体" w:cs="仿宋_GB2312"/>
                <w:color w:val="auto"/>
                <w:kern w:val="0"/>
              </w:rPr>
              <w:t>90%　</w:t>
            </w:r>
          </w:p>
        </w:tc>
        <w:tc>
          <w:tcPr>
            <w:tcW w:w="1536" w:type="dxa"/>
            <w:vAlign w:val="center"/>
          </w:tcPr>
          <w:p>
            <w:pPr>
              <w:widowControl/>
              <w:jc w:val="center"/>
              <w:rPr>
                <w:rFonts w:ascii="宋体" w:hAnsi="宋体" w:eastAsia="宋体" w:cs="Times New Roman"/>
                <w:color w:val="auto"/>
                <w:kern w:val="0"/>
                <w:sz w:val="21"/>
                <w:szCs w:val="22"/>
                <w:lang w:val="en-US" w:eastAsia="zh-CN" w:bidi="ar-SA"/>
              </w:rPr>
            </w:pPr>
            <w:r>
              <w:rPr>
                <w:rFonts w:hint="eastAsia" w:ascii="宋体" w:hAnsi="宋体" w:eastAsia="宋体" w:cs="仿宋_GB2312"/>
                <w:color w:val="auto"/>
                <w:kern w:val="0"/>
              </w:rPr>
              <w:t>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sz w:val="18"/>
                <w:szCs w:val="18"/>
                <w:lang w:val="en-US" w:eastAsia="zh-CN" w:bidi="ar-SA"/>
              </w:rPr>
            </w:pPr>
          </w:p>
        </w:tc>
        <w:tc>
          <w:tcPr>
            <w:tcW w:w="3284" w:type="dxa"/>
            <w:gridSpan w:val="3"/>
            <w:vAlign w:val="center"/>
          </w:tcPr>
          <w:p>
            <w:pPr>
              <w:widowControl/>
              <w:snapToGrid w:val="0"/>
              <w:jc w:val="center"/>
              <w:rPr>
                <w:rFonts w:ascii="仿宋_GB2312" w:hAnsi="宋体" w:eastAsia="仿宋_GB2312" w:cs="Times New Roman"/>
                <w:color w:val="auto"/>
                <w:kern w:val="0"/>
                <w:sz w:val="18"/>
                <w:szCs w:val="18"/>
                <w:lang w:val="en-US" w:eastAsia="zh-CN" w:bidi="ar-SA"/>
              </w:rPr>
            </w:pPr>
          </w:p>
        </w:tc>
        <w:tc>
          <w:tcPr>
            <w:tcW w:w="1478" w:type="dxa"/>
            <w:vAlign w:val="center"/>
          </w:tcPr>
          <w:p>
            <w:pPr>
              <w:widowControl/>
              <w:snapToGrid w:val="0"/>
              <w:jc w:val="center"/>
              <w:rPr>
                <w:rFonts w:ascii="仿宋_GB2312" w:hAnsi="宋体" w:eastAsia="仿宋_GB2312" w:cs="Times New Roman"/>
                <w:color w:val="auto"/>
                <w:kern w:val="0"/>
                <w:sz w:val="18"/>
                <w:szCs w:val="18"/>
                <w:lang w:val="en-US" w:eastAsia="zh-CN" w:bidi="ar-SA"/>
              </w:rPr>
            </w:pPr>
          </w:p>
        </w:tc>
        <w:tc>
          <w:tcPr>
            <w:tcW w:w="1536" w:type="dxa"/>
            <w:vAlign w:val="center"/>
          </w:tcPr>
          <w:p>
            <w:pPr>
              <w:widowControl/>
              <w:snapToGrid w:val="0"/>
              <w:jc w:val="center"/>
              <w:rPr>
                <w:rFonts w:ascii="仿宋_GB2312" w:hAnsi="宋体" w:eastAsia="仿宋_GB2312"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w:t>
            </w:r>
          </w:p>
        </w:tc>
        <w:tc>
          <w:tcPr>
            <w:tcW w:w="3284" w:type="dxa"/>
            <w:gridSpan w:val="3"/>
            <w:vAlign w:val="center"/>
          </w:tcPr>
          <w:p>
            <w:pPr>
              <w:widowControl/>
              <w:snapToGrid w:val="0"/>
              <w:jc w:val="center"/>
              <w:rPr>
                <w:rFonts w:ascii="仿宋_GB2312" w:hAnsi="宋体" w:eastAsia="仿宋_GB2312" w:cs="Times New Roman"/>
                <w:color w:val="auto"/>
                <w:kern w:val="0"/>
              </w:rPr>
            </w:pPr>
          </w:p>
        </w:tc>
        <w:tc>
          <w:tcPr>
            <w:tcW w:w="1478" w:type="dxa"/>
            <w:vAlign w:val="center"/>
          </w:tcPr>
          <w:p>
            <w:pPr>
              <w:widowControl/>
              <w:snapToGrid w:val="0"/>
              <w:jc w:val="center"/>
              <w:rPr>
                <w:rFonts w:ascii="仿宋_GB2312" w:hAnsi="宋体" w:eastAsia="仿宋_GB2312" w:cs="Times New Roman"/>
                <w:color w:val="auto"/>
                <w:kern w:val="0"/>
              </w:rPr>
            </w:pPr>
          </w:p>
        </w:tc>
        <w:tc>
          <w:tcPr>
            <w:tcW w:w="1536" w:type="dxa"/>
            <w:vAlign w:val="center"/>
          </w:tcPr>
          <w:p>
            <w:pPr>
              <w:widowControl/>
              <w:snapToGrid w:val="0"/>
              <w:jc w:val="center"/>
              <w:rPr>
                <w:rFonts w:ascii="仿宋_GB2312" w:hAnsi="宋体"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restart"/>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满意度指标</w:t>
            </w:r>
          </w:p>
        </w:tc>
        <w:tc>
          <w:tcPr>
            <w:tcW w:w="1122" w:type="dxa"/>
            <w:vAlign w:val="center"/>
          </w:tcPr>
          <w:p>
            <w:pPr>
              <w:widowControl/>
              <w:snapToGrid w:val="0"/>
              <w:jc w:val="center"/>
              <w:rPr>
                <w:rFonts w:ascii="仿宋_GB2312" w:hAnsi="宋体" w:eastAsia="仿宋_GB2312" w:cs="仿宋_GB2312"/>
                <w:color w:val="auto"/>
                <w:kern w:val="0"/>
                <w:sz w:val="18"/>
                <w:szCs w:val="18"/>
                <w:lang w:val="en-US" w:eastAsia="zh-CN" w:bidi="ar-SA"/>
              </w:rPr>
            </w:pPr>
            <w:r>
              <w:rPr>
                <w:rFonts w:hint="eastAsia" w:ascii="宋体" w:hAnsi="宋体" w:eastAsia="宋体" w:cs="宋体"/>
                <w:color w:val="auto"/>
                <w:kern w:val="0"/>
                <w:sz w:val="18"/>
                <w:szCs w:val="18"/>
              </w:rPr>
              <w:t>服务对象满意度指标</w:t>
            </w:r>
            <w:r>
              <w:rPr>
                <w:rFonts w:hint="eastAsia" w:ascii="仿宋_GB2312" w:hAnsi="宋体" w:eastAsia="仿宋_GB2312" w:cs="仿宋_GB2312"/>
                <w:color w:val="auto"/>
                <w:kern w:val="0"/>
                <w:sz w:val="18"/>
                <w:szCs w:val="18"/>
              </w:rPr>
              <w:t>……</w:t>
            </w:r>
          </w:p>
        </w:tc>
        <w:tc>
          <w:tcPr>
            <w:tcW w:w="3284" w:type="dxa"/>
            <w:gridSpan w:val="3"/>
            <w:vAlign w:val="center"/>
          </w:tcPr>
          <w:p>
            <w:pPr>
              <w:widowControl/>
              <w:spacing w:line="240" w:lineRule="exact"/>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患者满意度</w:t>
            </w:r>
          </w:p>
        </w:tc>
        <w:tc>
          <w:tcPr>
            <w:tcW w:w="1478" w:type="dxa"/>
            <w:vAlign w:val="center"/>
          </w:tcPr>
          <w:p>
            <w:pPr>
              <w:widowControl/>
              <w:spacing w:line="240" w:lineRule="exact"/>
              <w:ind w:firstLine="450" w:firstLineChars="250"/>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90%</w:t>
            </w:r>
          </w:p>
        </w:tc>
        <w:tc>
          <w:tcPr>
            <w:tcW w:w="1536" w:type="dxa"/>
            <w:vAlign w:val="center"/>
          </w:tcPr>
          <w:p>
            <w:pPr>
              <w:widowControl/>
              <w:spacing w:line="240" w:lineRule="exact"/>
              <w:ind w:firstLine="450" w:firstLineChars="250"/>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仿宋_GB2312"/>
                <w:color w:val="auto"/>
                <w:kern w:val="0"/>
              </w:rPr>
              <w:t>……</w:t>
            </w:r>
          </w:p>
        </w:tc>
        <w:tc>
          <w:tcPr>
            <w:tcW w:w="3284" w:type="dxa"/>
            <w:gridSpan w:val="3"/>
            <w:vAlign w:val="center"/>
          </w:tcPr>
          <w:p>
            <w:pPr>
              <w:widowControl/>
              <w:snapToGrid w:val="0"/>
              <w:jc w:val="center"/>
              <w:rPr>
                <w:rFonts w:ascii="仿宋_GB2312" w:hAnsi="宋体" w:eastAsia="仿宋_GB2312" w:cs="Times New Roman"/>
                <w:color w:val="auto"/>
                <w:kern w:val="0"/>
              </w:rPr>
            </w:pPr>
          </w:p>
        </w:tc>
        <w:tc>
          <w:tcPr>
            <w:tcW w:w="1478" w:type="dxa"/>
            <w:vAlign w:val="center"/>
          </w:tcPr>
          <w:p>
            <w:pPr>
              <w:widowControl/>
              <w:snapToGrid w:val="0"/>
              <w:jc w:val="center"/>
              <w:rPr>
                <w:rFonts w:ascii="仿宋_GB2312" w:hAnsi="宋体" w:eastAsia="仿宋_GB2312" w:cs="Times New Roman"/>
                <w:color w:val="auto"/>
                <w:kern w:val="0"/>
              </w:rPr>
            </w:pPr>
          </w:p>
        </w:tc>
        <w:tc>
          <w:tcPr>
            <w:tcW w:w="1536" w:type="dxa"/>
            <w:vAlign w:val="center"/>
          </w:tcPr>
          <w:p>
            <w:pPr>
              <w:widowControl/>
              <w:snapToGrid w:val="0"/>
              <w:jc w:val="center"/>
              <w:rPr>
                <w:rFonts w:ascii="仿宋_GB2312" w:hAnsi="宋体"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年度绩效目标</w:t>
            </w:r>
            <w:r>
              <w:rPr>
                <w:rFonts w:ascii="仿宋_GB2312" w:hAnsi="宋体" w:eastAsia="仿宋_GB2312" w:cs="仿宋_GB2312"/>
                <w:color w:val="auto"/>
                <w:kern w:val="0"/>
              </w:rPr>
              <w:t>2</w:t>
            </w:r>
          </w:p>
        </w:tc>
        <w:tc>
          <w:tcPr>
            <w:tcW w:w="700" w:type="dxa"/>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rPr>
            </w:pPr>
          </w:p>
        </w:tc>
        <w:tc>
          <w:tcPr>
            <w:tcW w:w="3284" w:type="dxa"/>
            <w:gridSpan w:val="3"/>
            <w:vAlign w:val="center"/>
          </w:tcPr>
          <w:p>
            <w:pPr>
              <w:widowControl/>
              <w:snapToGrid w:val="0"/>
              <w:jc w:val="center"/>
              <w:rPr>
                <w:rFonts w:ascii="仿宋_GB2312" w:hAnsi="宋体" w:eastAsia="仿宋_GB2312" w:cs="Times New Roman"/>
                <w:color w:val="auto"/>
                <w:kern w:val="0"/>
              </w:rPr>
            </w:pPr>
          </w:p>
        </w:tc>
        <w:tc>
          <w:tcPr>
            <w:tcW w:w="1478" w:type="dxa"/>
            <w:vAlign w:val="center"/>
          </w:tcPr>
          <w:p>
            <w:pPr>
              <w:widowControl/>
              <w:snapToGrid w:val="0"/>
              <w:jc w:val="center"/>
              <w:rPr>
                <w:rFonts w:ascii="仿宋_GB2312" w:hAnsi="宋体" w:eastAsia="仿宋_GB2312" w:cs="Times New Roman"/>
                <w:color w:val="auto"/>
                <w:kern w:val="0"/>
              </w:rPr>
            </w:pPr>
          </w:p>
        </w:tc>
        <w:tc>
          <w:tcPr>
            <w:tcW w:w="1536" w:type="dxa"/>
            <w:vAlign w:val="center"/>
          </w:tcPr>
          <w:p>
            <w:pPr>
              <w:widowControl/>
              <w:snapToGrid w:val="0"/>
              <w:jc w:val="center"/>
              <w:rPr>
                <w:rFonts w:ascii="仿宋_GB2312" w:hAnsi="宋体"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rPr>
              <w:t>学校结核病疫情处理</w:t>
            </w:r>
            <w:r>
              <w:rPr>
                <w:rFonts w:hint="eastAsia" w:ascii="仿宋_GB2312" w:hAnsi="宋体" w:eastAsia="仿宋_GB2312" w:cs="Times New Roman"/>
                <w:kern w:val="0"/>
                <w:lang w:eastAsia="zh-CN"/>
              </w:rPr>
              <w:t>资金从上级重大传染病经费支出，未从市级</w:t>
            </w:r>
            <w:r>
              <w:rPr>
                <w:rFonts w:hint="eastAsia" w:ascii="仿宋_GB2312" w:hAnsi="宋体" w:eastAsia="仿宋_GB2312" w:cs="Times New Roman"/>
                <w:kern w:val="0"/>
              </w:rPr>
              <w:t>结核病</w:t>
            </w:r>
            <w:r>
              <w:rPr>
                <w:rFonts w:hint="eastAsia" w:ascii="仿宋_GB2312" w:hAnsi="宋体" w:eastAsia="仿宋_GB2312" w:cs="Times New Roman"/>
                <w:kern w:val="0"/>
                <w:lang w:eastAsia="zh-CN"/>
              </w:rPr>
              <w:t>经费列支。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ascii="仿宋_GB2312" w:hAnsi="宋体" w:eastAsia="仿宋_GB2312" w:cs="Times New Roman"/>
                      <w:kern w:val="0"/>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0FFF5CEB"/>
    <w:rsid w:val="11510F99"/>
    <w:rsid w:val="22590ECB"/>
    <w:rsid w:val="28634752"/>
    <w:rsid w:val="2F601B83"/>
    <w:rsid w:val="3F5F4C0D"/>
    <w:rsid w:val="49101673"/>
    <w:rsid w:val="49414FDE"/>
    <w:rsid w:val="4B042F54"/>
    <w:rsid w:val="577C0C48"/>
    <w:rsid w:val="68B4591F"/>
    <w:rsid w:val="6B891535"/>
    <w:rsid w:val="774806CC"/>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2024-05-15T03:09:03Z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