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cs="Times New Roma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-162560</wp:posOffset>
            </wp:positionH>
            <wp:positionV relativeFrom="paragraph">
              <wp:posOffset>459740</wp:posOffset>
            </wp:positionV>
            <wp:extent cx="1511300" cy="1511300"/>
            <wp:effectExtent l="0" t="0" r="12700" b="12700"/>
            <wp:wrapNone/>
            <wp:docPr id="1" name="图片 1" descr="鄂州市公立医院事务中心　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鄂州市公立医院事务中心　红章"/>
                    <pic:cNvPicPr>
                      <a:picLocks noChangeAspect="1"/>
                    </pic:cNvPicPr>
                  </pic:nvPicPr>
                  <pic:blipFill>
                    <a:blip r:embed="rId4"/>
                    <a:stretch>
                      <a:fillRect/>
                    </a:stretch>
                  </pic:blipFill>
                  <pic:spPr>
                    <a:xfrm>
                      <a:off x="0" y="0"/>
                      <a:ext cx="1511300" cy="1511300"/>
                    </a:xfrm>
                    <a:prstGeom prst="rect">
                      <a:avLst/>
                    </a:prstGeom>
                    <a:noFill/>
                    <a:ln>
                      <a:noFill/>
                    </a:ln>
                  </pic:spPr>
                </pic:pic>
              </a:graphicData>
            </a:graphic>
          </wp:anchor>
        </w:drawing>
      </w: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公立医院改革试点工作经费</w:t>
      </w:r>
      <w:r>
        <w:rPr>
          <w:rFonts w:hint="eastAsia" w:ascii="方正小标宋简体" w:hAnsi="宋体" w:eastAsia="方正小标宋简体" w:cs="方正小标宋简体"/>
          <w:sz w:val="44"/>
          <w:szCs w:val="44"/>
        </w:rPr>
        <w:t>项目自评表</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鄂州市公立医院事务中心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宋体" w:hAnsi="宋体" w:eastAsia="宋体" w:cs="宋体"/>
                <w:kern w:val="0"/>
                <w:sz w:val="18"/>
                <w:szCs w:val="18"/>
                <w:lang w:val="en-US" w:eastAsia="zh-CN"/>
              </w:rPr>
              <w:t>公立医院改革试点工作经费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市公立医院事务中心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kern w:val="0"/>
                <w:sz w:val="18"/>
                <w:szCs w:val="18"/>
              </w:rPr>
              <w:t>数量指标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宋体" w:hAnsi="宋体" w:eastAsia="宋体" w:cs="宋体"/>
                <w:color w:val="000000"/>
                <w:kern w:val="0"/>
                <w:sz w:val="18"/>
                <w:szCs w:val="18"/>
              </w:rPr>
              <w:t>完成20</w:t>
            </w: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年公立医院全面预决算和全成本核算工作</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时效指标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项目计划按期完成率</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成本指标</w:t>
            </w:r>
          </w:p>
        </w:tc>
        <w:tc>
          <w:tcPr>
            <w:tcW w:w="3284" w:type="dxa"/>
            <w:gridSpan w:val="3"/>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资金分配总额</w:t>
            </w:r>
          </w:p>
        </w:tc>
        <w:tc>
          <w:tcPr>
            <w:tcW w:w="1478"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10万</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6.83万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经济效益</w:t>
            </w:r>
          </w:p>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医院公益性逐步增强</w:t>
            </w: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逐步增强</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逐步增强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落实公立医院综合改革年度重点工作任务</w:t>
            </w:r>
          </w:p>
        </w:tc>
        <w:tc>
          <w:tcPr>
            <w:tcW w:w="1478"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全面落实</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全面落实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未结合当年工作安排综合考虑，项目资金拨付进度较慢。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1.认真分析偏差原因，吸取经验教训；2.研究实际使用情况，合理分配；3.加强资金使用谋划，提高准确率。</w:t>
            </w:r>
          </w:p>
          <w:p>
            <w:pPr>
              <w:widowControl/>
              <w:jc w:val="left"/>
              <w:rPr>
                <w:rFonts w:ascii="仿宋_GB2312" w:hAnsi="宋体" w:eastAsia="仿宋_GB2312" w:cs="Times New Roman"/>
                <w:kern w:val="0"/>
              </w:rPr>
            </w:pPr>
            <w:bookmarkStart w:id="0" w:name="_GoBack"/>
            <w:bookmarkEnd w:id="0"/>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zJjNmQxYmNiZGVjZGU4NzBmZWVlNDZmODVkMmQifQ=="/>
  </w:docVars>
  <w:rsids>
    <w:rsidRoot w:val="7CBC07A3"/>
    <w:rsid w:val="01233A9E"/>
    <w:rsid w:val="02702D13"/>
    <w:rsid w:val="031F2043"/>
    <w:rsid w:val="04531FA4"/>
    <w:rsid w:val="04E71358"/>
    <w:rsid w:val="053A3164"/>
    <w:rsid w:val="05481095"/>
    <w:rsid w:val="06043E9E"/>
    <w:rsid w:val="06451DC1"/>
    <w:rsid w:val="06B036DE"/>
    <w:rsid w:val="09BF1E8A"/>
    <w:rsid w:val="0A042E8E"/>
    <w:rsid w:val="0CA710DF"/>
    <w:rsid w:val="0E2F75DE"/>
    <w:rsid w:val="0E6D3E28"/>
    <w:rsid w:val="0EF12AE6"/>
    <w:rsid w:val="0F8E6586"/>
    <w:rsid w:val="10AB224C"/>
    <w:rsid w:val="10D0497D"/>
    <w:rsid w:val="11005262"/>
    <w:rsid w:val="16666F80"/>
    <w:rsid w:val="18E611E1"/>
    <w:rsid w:val="1A46462D"/>
    <w:rsid w:val="1A587EBD"/>
    <w:rsid w:val="1C033E58"/>
    <w:rsid w:val="1C252021"/>
    <w:rsid w:val="1C295FB5"/>
    <w:rsid w:val="1CF2284B"/>
    <w:rsid w:val="1CF93CD0"/>
    <w:rsid w:val="1D9B4C90"/>
    <w:rsid w:val="1FE228FE"/>
    <w:rsid w:val="2355143D"/>
    <w:rsid w:val="236553F8"/>
    <w:rsid w:val="258927DA"/>
    <w:rsid w:val="264D464E"/>
    <w:rsid w:val="26BE72FA"/>
    <w:rsid w:val="286E4D4F"/>
    <w:rsid w:val="29A273A6"/>
    <w:rsid w:val="2C3342E6"/>
    <w:rsid w:val="318252FC"/>
    <w:rsid w:val="3243100D"/>
    <w:rsid w:val="34F62354"/>
    <w:rsid w:val="352549E8"/>
    <w:rsid w:val="35FA5E74"/>
    <w:rsid w:val="36407D2B"/>
    <w:rsid w:val="397523E2"/>
    <w:rsid w:val="3B8A37F6"/>
    <w:rsid w:val="3D5567B2"/>
    <w:rsid w:val="3DBB413B"/>
    <w:rsid w:val="408D1DBF"/>
    <w:rsid w:val="43B96845"/>
    <w:rsid w:val="44CD4E80"/>
    <w:rsid w:val="464253F9"/>
    <w:rsid w:val="4B187071"/>
    <w:rsid w:val="4CBD7ED0"/>
    <w:rsid w:val="4E834801"/>
    <w:rsid w:val="4ECE7969"/>
    <w:rsid w:val="50016044"/>
    <w:rsid w:val="500530F1"/>
    <w:rsid w:val="53733096"/>
    <w:rsid w:val="53792797"/>
    <w:rsid w:val="53AA2830"/>
    <w:rsid w:val="55175CA3"/>
    <w:rsid w:val="557E5D22"/>
    <w:rsid w:val="588A3B54"/>
    <w:rsid w:val="59DE4FE1"/>
    <w:rsid w:val="5B2555BE"/>
    <w:rsid w:val="5CB00EB7"/>
    <w:rsid w:val="5F93061C"/>
    <w:rsid w:val="5FA36AB1"/>
    <w:rsid w:val="5FA665A1"/>
    <w:rsid w:val="60681AA9"/>
    <w:rsid w:val="63D731CD"/>
    <w:rsid w:val="63ED479F"/>
    <w:rsid w:val="649E3CEB"/>
    <w:rsid w:val="64C574CA"/>
    <w:rsid w:val="68721717"/>
    <w:rsid w:val="6D4B0788"/>
    <w:rsid w:val="705E6A80"/>
    <w:rsid w:val="73555EBD"/>
    <w:rsid w:val="73D634A1"/>
    <w:rsid w:val="74604B19"/>
    <w:rsid w:val="77C76C79"/>
    <w:rsid w:val="78212720"/>
    <w:rsid w:val="79756206"/>
    <w:rsid w:val="79D51B05"/>
    <w:rsid w:val="7B340AAD"/>
    <w:rsid w:val="7CB4634A"/>
    <w:rsid w:val="7CBC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668</Characters>
  <Lines>0</Lines>
  <Paragraphs>0</Paragraphs>
  <TotalTime>5</TotalTime>
  <ScaleCrop>false</ScaleCrop>
  <LinksUpToDate>false</LinksUpToDate>
  <CharactersWithSpaces>708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dcterms:modified xsi:type="dcterms:W3CDTF">2024-04-24T08:29:44Z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9C85C67E92AC49D0B221BD5CD6AB4E64_11</vt:lpwstr>
  </property>
</Properties>
</file>