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cs="Times New Roman"/>
        </w:rPr>
      </w:pPr>
      <w:bookmarkStart w:id="0" w:name="_GoBack"/>
      <w:r>
        <w:rPr>
          <w:rFonts w:hint="eastAsia" w:eastAsia="宋体"/>
          <w:lang w:eastAsia="zh-CN"/>
        </w:rPr>
        <w:drawing>
          <wp:anchor distT="0" distB="0" distL="114300" distR="114300" simplePos="0" relativeHeight="251659264" behindDoc="1" locked="0" layoutInCell="1" allowOverlap="1">
            <wp:simplePos x="0" y="0"/>
            <wp:positionH relativeFrom="column">
              <wp:posOffset>-133985</wp:posOffset>
            </wp:positionH>
            <wp:positionV relativeFrom="paragraph">
              <wp:posOffset>574040</wp:posOffset>
            </wp:positionV>
            <wp:extent cx="1511300" cy="1511300"/>
            <wp:effectExtent l="0" t="0" r="12700" b="12700"/>
            <wp:wrapNone/>
            <wp:docPr id="1" name="图片 1" descr="鄂州市公立医院事务中心　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鄂州市公立医院事务中心　红章"/>
                    <pic:cNvPicPr>
                      <a:picLocks noChangeAspect="1"/>
                    </pic:cNvPicPr>
                  </pic:nvPicPr>
                  <pic:blipFill>
                    <a:blip r:embed="rId4"/>
                    <a:stretch>
                      <a:fillRect/>
                    </a:stretch>
                  </pic:blipFill>
                  <pic:spPr>
                    <a:xfrm>
                      <a:off x="0" y="0"/>
                      <a:ext cx="1511300" cy="1511300"/>
                    </a:xfrm>
                    <a:prstGeom prst="rect">
                      <a:avLst/>
                    </a:prstGeom>
                    <a:noFill/>
                    <a:ln>
                      <a:noFill/>
                    </a:ln>
                  </pic:spPr>
                </pic:pic>
              </a:graphicData>
            </a:graphic>
          </wp:anchor>
        </w:drawing>
      </w:r>
      <w:bookmarkEnd w:id="0"/>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公立医院综合改革补助资金</w:t>
      </w:r>
      <w:r>
        <w:rPr>
          <w:rFonts w:hint="eastAsia" w:ascii="方正小标宋简体" w:hAnsi="宋体" w:eastAsia="方正小标宋简体" w:cs="方正小标宋简体"/>
          <w:sz w:val="44"/>
          <w:szCs w:val="44"/>
        </w:rPr>
        <w:t>项目自评表</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鄂州市公立医院事务中心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公立医院综合改革补助资金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市公立医院事务中心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677</w:t>
            </w:r>
          </w:p>
        </w:tc>
        <w:tc>
          <w:tcPr>
            <w:tcW w:w="1680" w:type="dxa"/>
            <w:gridSpan w:val="2"/>
            <w:vAlign w:val="center"/>
          </w:tcPr>
          <w:p>
            <w:pPr>
              <w:widowControl/>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527</w:t>
            </w:r>
          </w:p>
        </w:tc>
        <w:tc>
          <w:tcPr>
            <w:tcW w:w="3014" w:type="dxa"/>
            <w:gridSpan w:val="2"/>
            <w:vAlign w:val="center"/>
          </w:tcPr>
          <w:p>
            <w:pPr>
              <w:widowControl/>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rPr>
              <w:t>数量指标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完成四家公立医院运营监管</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4家</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数量指标</w:t>
            </w:r>
          </w:p>
        </w:tc>
        <w:tc>
          <w:tcPr>
            <w:tcW w:w="3284"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资金分配的公立医院数量</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4家</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lang w:eastAsia="zh-CN"/>
              </w:rPr>
              <w:t>时效</w:t>
            </w:r>
            <w:r>
              <w:rPr>
                <w:rFonts w:hint="eastAsia" w:ascii="宋体" w:hAnsi="宋体" w:eastAsia="宋体" w:cs="宋体"/>
                <w:kern w:val="0"/>
                <w:sz w:val="18"/>
                <w:szCs w:val="18"/>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202</w:t>
            </w:r>
            <w:r>
              <w:rPr>
                <w:rFonts w:hint="eastAsia" w:ascii="仿宋_GB2312" w:hAnsi="宋体" w:eastAsia="仿宋_GB2312" w:cs="Times New Roman"/>
                <w:kern w:val="0"/>
                <w:lang w:val="en-US" w:eastAsia="zh-CN"/>
              </w:rPr>
              <w:t>3</w:t>
            </w:r>
            <w:r>
              <w:rPr>
                <w:rFonts w:hint="eastAsia" w:ascii="仿宋_GB2312" w:hAnsi="宋体" w:eastAsia="仿宋_GB2312" w:cs="Times New Roman"/>
                <w:kern w:val="0"/>
              </w:rPr>
              <w:t>年12月完成公立医院运营监管工作</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12月前</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公立医院正常运转率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提高医疗服务保障能力</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社会效益指标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增强公立医院综合服务能力</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增强</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1.资金金额较大，分配方案需要较长时间明确；2.项目建设前期准备工作耗时较长。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1.认真分析偏差原因，吸取经验教训；2.研究实际使用情况，合理分配；3.加强资金使用规划，提高使用率。</w:t>
            </w:r>
          </w:p>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zJjNmQxYmNiZGVjZGU4NzBmZWVlNDZmODVkMmQifQ=="/>
  </w:docVars>
  <w:rsids>
    <w:rsidRoot w:val="7CBC07A3"/>
    <w:rsid w:val="01BD35AB"/>
    <w:rsid w:val="03F37758"/>
    <w:rsid w:val="05CA04C6"/>
    <w:rsid w:val="09077801"/>
    <w:rsid w:val="096E162E"/>
    <w:rsid w:val="0972111F"/>
    <w:rsid w:val="0E35096D"/>
    <w:rsid w:val="10F845FF"/>
    <w:rsid w:val="1152460D"/>
    <w:rsid w:val="138420BA"/>
    <w:rsid w:val="16CB1E6E"/>
    <w:rsid w:val="176875D2"/>
    <w:rsid w:val="19FB37D3"/>
    <w:rsid w:val="27007912"/>
    <w:rsid w:val="28F90ABD"/>
    <w:rsid w:val="2A465F84"/>
    <w:rsid w:val="2EF10A52"/>
    <w:rsid w:val="3DC7256C"/>
    <w:rsid w:val="42B555FD"/>
    <w:rsid w:val="43397FDC"/>
    <w:rsid w:val="4EC05A55"/>
    <w:rsid w:val="50016044"/>
    <w:rsid w:val="509C7DFC"/>
    <w:rsid w:val="50AB003F"/>
    <w:rsid w:val="5B70435F"/>
    <w:rsid w:val="5C427AAA"/>
    <w:rsid w:val="61E433B1"/>
    <w:rsid w:val="62013F63"/>
    <w:rsid w:val="67C972D1"/>
    <w:rsid w:val="6B721A2E"/>
    <w:rsid w:val="6C4258A4"/>
    <w:rsid w:val="763149BF"/>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691</Characters>
  <Lines>0</Lines>
  <Paragraphs>0</Paragraphs>
  <TotalTime>0</TotalTime>
  <ScaleCrop>false</ScaleCrop>
  <LinksUpToDate>false</LinksUpToDate>
  <CharactersWithSpaces>731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2024-04-24T03:04:00Z</cp:lastPrinted>
  <dcterms:modified xsi:type="dcterms:W3CDTF">2024-04-24T08:29:40Z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9C85C67E92AC49D0B221BD5CD6AB4E64_11</vt:lpwstr>
  </property>
</Properties>
</file>