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7813A">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仿宋_GB2312" w:hAnsi="仿宋_GB2312" w:eastAsia="仿宋_GB2312" w:cs="仿宋_GB2312"/>
          <w:color w:val="auto"/>
          <w:spacing w:val="6"/>
          <w:kern w:val="0"/>
          <w:sz w:val="32"/>
          <w:szCs w:val="32"/>
          <w:u w:val="none"/>
          <w:lang w:val="en-US" w:eastAsia="zh-CN"/>
        </w:rPr>
      </w:pPr>
      <w:r>
        <w:rPr>
          <w:rStyle w:val="9"/>
          <w:rFonts w:hint="eastAsia" w:ascii="方正小标宋简体" w:hAnsi="方正小标宋简体" w:eastAsia="方正小标宋简体" w:cs="方正小标宋简体"/>
          <w:b w:val="0"/>
          <w:bCs/>
          <w:i w:val="0"/>
          <w:caps w:val="0"/>
          <w:color w:val="auto"/>
          <w:spacing w:val="0"/>
          <w:kern w:val="0"/>
          <w:sz w:val="44"/>
          <w:szCs w:val="44"/>
          <w:u w:val="none"/>
          <w:shd w:val="clear" w:color="auto" w:fill="FFFFFF"/>
          <w:lang w:eastAsia="zh-CN"/>
        </w:rPr>
        <w:t>鄂州市</w:t>
      </w:r>
      <w:r>
        <w:rPr>
          <w:rStyle w:val="9"/>
          <w:rFonts w:hint="eastAsia" w:ascii="方正小标宋简体" w:hAnsi="方正小标宋简体" w:eastAsia="方正小标宋简体" w:cs="方正小标宋简体"/>
          <w:b w:val="0"/>
          <w:bCs/>
          <w:i w:val="0"/>
          <w:caps w:val="0"/>
          <w:color w:val="auto"/>
          <w:spacing w:val="0"/>
          <w:kern w:val="0"/>
          <w:sz w:val="44"/>
          <w:szCs w:val="44"/>
          <w:u w:val="none"/>
          <w:shd w:val="clear" w:color="auto" w:fill="FFFFFF"/>
          <w:lang w:val="en-US" w:eastAsia="zh-CN"/>
        </w:rPr>
        <w:t>落实生育支持</w:t>
      </w:r>
      <w:r>
        <w:rPr>
          <w:rStyle w:val="9"/>
          <w:rFonts w:hint="eastAsia" w:ascii="方正小标宋简体" w:hAnsi="方正小标宋简体" w:eastAsia="方正小标宋简体" w:cs="方正小标宋简体"/>
          <w:b w:val="0"/>
          <w:bCs/>
          <w:i w:val="0"/>
          <w:caps w:val="0"/>
          <w:color w:val="auto"/>
          <w:spacing w:val="0"/>
          <w:kern w:val="0"/>
          <w:sz w:val="44"/>
          <w:szCs w:val="44"/>
          <w:u w:val="none"/>
          <w:shd w:val="clear" w:color="auto" w:fill="FFFFFF"/>
          <w:lang w:eastAsia="zh-CN"/>
        </w:rPr>
        <w:t>政策</w:t>
      </w:r>
      <w:r>
        <w:rPr>
          <w:rStyle w:val="9"/>
          <w:rFonts w:hint="eastAsia" w:ascii="方正小标宋简体" w:hAnsi="方正小标宋简体" w:eastAsia="方正小标宋简体" w:cs="方正小标宋简体"/>
          <w:b w:val="0"/>
          <w:bCs/>
          <w:i w:val="0"/>
          <w:caps w:val="0"/>
          <w:color w:val="auto"/>
          <w:spacing w:val="0"/>
          <w:kern w:val="0"/>
          <w:sz w:val="44"/>
          <w:szCs w:val="44"/>
          <w:u w:val="none"/>
          <w:shd w:val="clear" w:color="auto" w:fill="FFFFFF"/>
          <w:lang w:val="en-US" w:eastAsia="zh-CN"/>
        </w:rPr>
        <w:t>十条措施（修订）</w:t>
      </w:r>
    </w:p>
    <w:p w14:paraId="3930CD4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 w:hAnsi="楷体" w:eastAsia="楷体" w:cs="楷体"/>
          <w:color w:val="auto"/>
          <w:spacing w:val="6"/>
          <w:kern w:val="0"/>
          <w:sz w:val="32"/>
          <w:szCs w:val="32"/>
          <w:u w:val="none"/>
          <w:lang w:val="en-US" w:eastAsia="zh-CN"/>
        </w:rPr>
      </w:pPr>
      <w:r>
        <w:rPr>
          <w:rFonts w:hint="eastAsia" w:ascii="楷体" w:hAnsi="楷体" w:eastAsia="楷体" w:cs="楷体"/>
          <w:color w:val="auto"/>
          <w:spacing w:val="6"/>
          <w:kern w:val="0"/>
          <w:sz w:val="32"/>
          <w:szCs w:val="32"/>
          <w:u w:val="none"/>
          <w:lang w:val="en-US" w:eastAsia="zh-CN"/>
        </w:rPr>
        <w:t>（征求意见稿）</w:t>
      </w:r>
    </w:p>
    <w:p w14:paraId="455A309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 w:hAnsi="仿宋" w:eastAsia="仿宋" w:cs="仿宋"/>
          <w:b w:val="0"/>
          <w:bCs w:val="0"/>
          <w:color w:val="auto"/>
          <w:spacing w:val="0"/>
          <w:kern w:val="2"/>
          <w:sz w:val="32"/>
          <w:szCs w:val="32"/>
          <w:u w:val="none"/>
          <w:lang w:val="en-US" w:eastAsia="zh-CN"/>
        </w:rPr>
      </w:pPr>
      <w:r>
        <w:rPr>
          <w:rFonts w:hint="eastAsia" w:ascii="仿宋" w:hAnsi="仿宋" w:eastAsia="仿宋" w:cs="仿宋"/>
          <w:color w:val="auto"/>
          <w:spacing w:val="0"/>
          <w:kern w:val="2"/>
          <w:sz w:val="32"/>
          <w:szCs w:val="32"/>
          <w:u w:val="none"/>
          <w:lang w:val="en-US" w:eastAsia="zh-CN"/>
        </w:rPr>
        <w:t>为贯彻落</w:t>
      </w:r>
      <w:r>
        <w:rPr>
          <w:rFonts w:hint="eastAsia" w:ascii="仿宋" w:hAnsi="仿宋" w:eastAsia="仿宋" w:cs="仿宋"/>
          <w:b w:val="0"/>
          <w:bCs w:val="0"/>
          <w:color w:val="auto"/>
          <w:spacing w:val="0"/>
          <w:kern w:val="2"/>
          <w:sz w:val="32"/>
          <w:szCs w:val="32"/>
          <w:u w:val="none"/>
          <w:lang w:val="en-US" w:eastAsia="zh-CN"/>
        </w:rPr>
        <w:t>实党</w:t>
      </w:r>
      <w:r>
        <w:rPr>
          <w:rFonts w:hint="eastAsia" w:ascii="仿宋" w:hAnsi="仿宋" w:eastAsia="仿宋" w:cs="仿宋"/>
          <w:b w:val="0"/>
          <w:bCs w:val="0"/>
          <w:strike w:val="0"/>
          <w:dstrike w:val="0"/>
          <w:color w:val="auto"/>
          <w:spacing w:val="0"/>
          <w:kern w:val="2"/>
          <w:sz w:val="32"/>
          <w:szCs w:val="32"/>
          <w:u w:val="none"/>
          <w:lang w:val="en-US" w:eastAsia="zh-CN"/>
        </w:rPr>
        <w:t>中央、国务院和省委、省政府促进人口长期均衡发展和完善生育支持政策体系相关文件精神，</w:t>
      </w:r>
      <w:r>
        <w:rPr>
          <w:rFonts w:hint="eastAsia" w:ascii="仿宋" w:hAnsi="仿宋" w:eastAsia="仿宋" w:cs="仿宋"/>
          <w:b w:val="0"/>
          <w:bCs w:val="0"/>
          <w:color w:val="auto"/>
          <w:spacing w:val="0"/>
          <w:kern w:val="2"/>
          <w:sz w:val="32"/>
          <w:szCs w:val="32"/>
          <w:u w:val="none"/>
          <w:lang w:val="en-US" w:eastAsia="zh-CN"/>
        </w:rPr>
        <w:t>结合我市实际，</w:t>
      </w:r>
      <w:r>
        <w:rPr>
          <w:rFonts w:hint="eastAsia" w:ascii="仿宋" w:hAnsi="仿宋" w:eastAsia="仿宋" w:cs="仿宋"/>
          <w:b w:val="0"/>
          <w:bCs w:val="0"/>
          <w:strike w:val="0"/>
          <w:dstrike w:val="0"/>
          <w:color w:val="auto"/>
          <w:spacing w:val="0"/>
          <w:kern w:val="2"/>
          <w:sz w:val="32"/>
          <w:szCs w:val="32"/>
          <w:u w:val="none"/>
          <w:lang w:val="en-US" w:eastAsia="zh-CN"/>
        </w:rPr>
        <w:t>制定</w:t>
      </w:r>
      <w:r>
        <w:rPr>
          <w:rFonts w:hint="eastAsia" w:ascii="仿宋" w:hAnsi="仿宋" w:eastAsia="仿宋" w:cs="仿宋"/>
          <w:b w:val="0"/>
          <w:bCs w:val="0"/>
          <w:color w:val="auto"/>
          <w:spacing w:val="0"/>
          <w:kern w:val="2"/>
          <w:sz w:val="32"/>
          <w:szCs w:val="32"/>
          <w:u w:val="none"/>
          <w:lang w:val="en-US" w:eastAsia="zh-CN"/>
        </w:rPr>
        <w:t>如下措施。</w:t>
      </w:r>
    </w:p>
    <w:p w14:paraId="44499C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一、免费婚检孕检城乡居民全覆盖。</w:t>
      </w:r>
      <w:r>
        <w:rPr>
          <w:rFonts w:hint="eastAsia" w:ascii="仿宋" w:hAnsi="仿宋" w:eastAsia="仿宋" w:cs="仿宋"/>
          <w:color w:val="auto"/>
          <w:spacing w:val="0"/>
          <w:kern w:val="2"/>
          <w:sz w:val="32"/>
          <w:szCs w:val="32"/>
          <w:u w:val="none"/>
          <w:lang w:val="en-US" w:eastAsia="zh-CN"/>
        </w:rPr>
        <w:t>积极落实农村居民免费婚前医学检查、孕前优生健康检查和增补叶酸预防神经管缺陷项目，将免费服务扩大到城镇居民，</w:t>
      </w:r>
      <w:bookmarkStart w:id="0" w:name="_GoBack"/>
      <w:bookmarkEnd w:id="0"/>
      <w:r>
        <w:rPr>
          <w:rFonts w:hint="eastAsia" w:ascii="仿宋" w:hAnsi="仿宋" w:eastAsia="仿宋" w:cs="仿宋"/>
          <w:color w:val="auto"/>
          <w:spacing w:val="0"/>
          <w:kern w:val="2"/>
          <w:sz w:val="32"/>
          <w:szCs w:val="32"/>
          <w:u w:val="none"/>
          <w:lang w:val="en-US" w:eastAsia="zh-CN"/>
        </w:rPr>
        <w:t>实现城乡居民全覆盖。</w:t>
      </w:r>
      <w:r>
        <w:rPr>
          <w:rFonts w:hint="eastAsia" w:ascii="楷体_GB2312" w:hAnsi="楷体_GB2312" w:eastAsia="楷体_GB2312" w:cs="楷体_GB2312"/>
          <w:b w:val="0"/>
          <w:bCs w:val="0"/>
          <w:color w:val="auto"/>
          <w:spacing w:val="0"/>
          <w:kern w:val="0"/>
          <w:sz w:val="32"/>
          <w:szCs w:val="32"/>
          <w:u w:val="none"/>
          <w:lang w:val="en-US" w:eastAsia="zh-CN"/>
        </w:rPr>
        <w:t>（牵头单位：市卫健委；责任单位：市财政局、市医保局，各区人民政府〈含葛店经开区、临空经济区管委会，下同〉）</w:t>
      </w:r>
    </w:p>
    <w:p w14:paraId="583D26F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二、实行住院分娩报销及补助。</w:t>
      </w:r>
      <w:r>
        <w:rPr>
          <w:rFonts w:hint="eastAsia" w:ascii="仿宋" w:hAnsi="仿宋" w:eastAsia="仿宋" w:cs="仿宋"/>
          <w:color w:val="auto"/>
          <w:spacing w:val="0"/>
          <w:kern w:val="2"/>
          <w:sz w:val="32"/>
          <w:szCs w:val="32"/>
          <w:u w:val="none"/>
          <w:lang w:val="en-US" w:eastAsia="zh-CN"/>
        </w:rPr>
        <w:t>参保人员住院分娩不设起付线，报销比例、年度限额按照住院待遇标准执行，原城乡居民医保、城镇职工医保限额结算政策取消。职工医保参保人员产前检查保障标准由300元/孕周期提高至600元/孕周期，超过部分纳入职工医保普通门诊统筹报销，居民医保参保人员产前检查费用纳入普通门诊统筹报销，取消日支付限额。职工医保参保人员生育医疗费待遇享受等待期由参保缴费满6个月缩短至3个月。将先兆流产医疗费用纳入保障范围。怀孕后3个月内落实生育登记服务，政策内生育二孩及以上的，给予600元分娩补助（自然分娩补助增加600元，共计补助1200元）。</w:t>
      </w:r>
      <w:r>
        <w:rPr>
          <w:rFonts w:hint="eastAsia" w:ascii="楷体_GB2312" w:hAnsi="楷体_GB2312" w:eastAsia="楷体_GB2312" w:cs="楷体_GB2312"/>
          <w:color w:val="auto"/>
          <w:spacing w:val="0"/>
          <w:kern w:val="0"/>
          <w:sz w:val="32"/>
          <w:szCs w:val="32"/>
          <w:u w:val="none"/>
          <w:lang w:val="en-US" w:eastAsia="zh-CN"/>
        </w:rPr>
        <w:t>（牵头单位：市医保局、市卫健委；责任单位：市财政局，各区人民政府）</w:t>
      </w:r>
    </w:p>
    <w:p w14:paraId="0369C8C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三、补助辅助生殖技术治疗费用。</w:t>
      </w:r>
      <w:r>
        <w:rPr>
          <w:rFonts w:hint="eastAsia" w:ascii="仿宋" w:hAnsi="仿宋" w:eastAsia="仿宋" w:cs="仿宋"/>
          <w:color w:val="auto"/>
          <w:spacing w:val="0"/>
          <w:kern w:val="2"/>
          <w:sz w:val="32"/>
          <w:szCs w:val="32"/>
          <w:u w:val="none"/>
          <w:lang w:val="en-US" w:eastAsia="zh-CN"/>
        </w:rPr>
        <w:t>女方年满35周岁且确需实施辅助生殖技术生育的家庭，在具有相关资质医疗机构开展辅助生殖技术治疗的费用，按照个人承担部分每户累计不超过1万元的标准补助。</w:t>
      </w:r>
      <w:r>
        <w:rPr>
          <w:rFonts w:hint="eastAsia" w:ascii="楷体_GB2312" w:hAnsi="楷体_GB2312" w:eastAsia="楷体_GB2312" w:cs="楷体_GB2312"/>
          <w:b w:val="0"/>
          <w:bCs w:val="0"/>
          <w:color w:val="auto"/>
          <w:spacing w:val="0"/>
          <w:kern w:val="0"/>
          <w:sz w:val="32"/>
          <w:szCs w:val="32"/>
          <w:u w:val="none"/>
          <w:lang w:val="en-US" w:eastAsia="zh-CN"/>
        </w:rPr>
        <w:t>（牵头单位：市卫健委；责任单位：市财政局、市医保局，各区人民政府）</w:t>
      </w:r>
    </w:p>
    <w:p w14:paraId="02D68BE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b w:val="0"/>
          <w:bCs w:val="0"/>
          <w:color w:val="auto"/>
          <w:spacing w:val="0"/>
          <w:kern w:val="0"/>
          <w:sz w:val="32"/>
          <w:szCs w:val="32"/>
          <w:highlight w:val="none"/>
          <w:u w:val="none"/>
          <w:lang w:val="en-US" w:eastAsia="zh-CN"/>
        </w:rPr>
      </w:pPr>
      <w:r>
        <w:rPr>
          <w:rFonts w:hint="eastAsia" w:ascii="黑体" w:hAnsi="黑体" w:eastAsia="黑体" w:cs="黑体"/>
          <w:color w:val="auto"/>
          <w:spacing w:val="0"/>
          <w:kern w:val="0"/>
          <w:sz w:val="32"/>
          <w:szCs w:val="32"/>
          <w:highlight w:val="none"/>
          <w:u w:val="none"/>
          <w:lang w:val="en-US" w:eastAsia="zh-CN"/>
        </w:rPr>
        <w:t>四、发放育儿专项补助。</w:t>
      </w:r>
      <w:r>
        <w:rPr>
          <w:rFonts w:hint="eastAsia" w:ascii="仿宋" w:hAnsi="仿宋" w:eastAsia="仿宋" w:cs="仿宋"/>
          <w:color w:val="auto"/>
          <w:spacing w:val="0"/>
          <w:kern w:val="2"/>
          <w:sz w:val="32"/>
          <w:szCs w:val="32"/>
          <w:highlight w:val="none"/>
          <w:u w:val="none"/>
          <w:lang w:val="en-US" w:eastAsia="zh-CN"/>
        </w:rPr>
        <w:t>对符合法律法规规定生育的3周岁以下且落户在本地的婴幼儿发放补贴，每孩每年3600元，直至幼儿满3周岁。对经市委人才办认定的人才，政策内每生育一孩并将小孩户口落在本市的，另外一次性给予1000元奖励，其中落户在临空经济区、武汉新城鄂州片区的，一次性给予2000元奖励。</w:t>
      </w:r>
      <w:r>
        <w:rPr>
          <w:rFonts w:hint="eastAsia" w:ascii="楷体_GB2312" w:hAnsi="楷体_GB2312" w:eastAsia="楷体_GB2312" w:cs="楷体_GB2312"/>
          <w:color w:val="auto"/>
          <w:spacing w:val="0"/>
          <w:kern w:val="0"/>
          <w:sz w:val="32"/>
          <w:szCs w:val="32"/>
          <w:highlight w:val="none"/>
          <w:u w:val="none"/>
          <w:lang w:val="en-US" w:eastAsia="zh-CN"/>
        </w:rPr>
        <w:t>（</w:t>
      </w:r>
      <w:r>
        <w:rPr>
          <w:rFonts w:hint="eastAsia" w:ascii="楷体_GB2312" w:hAnsi="楷体_GB2312" w:eastAsia="楷体_GB2312" w:cs="楷体_GB2312"/>
          <w:b w:val="0"/>
          <w:bCs w:val="0"/>
          <w:color w:val="auto"/>
          <w:spacing w:val="0"/>
          <w:kern w:val="0"/>
          <w:sz w:val="32"/>
          <w:szCs w:val="32"/>
          <w:highlight w:val="none"/>
          <w:u w:val="none"/>
          <w:lang w:val="en-US" w:eastAsia="zh-CN"/>
        </w:rPr>
        <w:t>牵头单位：市卫健委，市委组织部〈市委人才办〉；责任单位：市财政局，各区人民政府）</w:t>
      </w:r>
    </w:p>
    <w:p w14:paraId="56E4707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五、发放托育机构服务补助。</w:t>
      </w:r>
      <w:r>
        <w:rPr>
          <w:rFonts w:hint="eastAsia" w:ascii="仿宋" w:hAnsi="仿宋" w:eastAsia="仿宋" w:cs="仿宋"/>
          <w:color w:val="auto"/>
          <w:spacing w:val="0"/>
          <w:kern w:val="2"/>
          <w:sz w:val="32"/>
          <w:szCs w:val="32"/>
          <w:u w:val="none"/>
          <w:lang w:val="en-US" w:eastAsia="zh-CN"/>
        </w:rPr>
        <w:t>对在市内登记备案、提供政策内婴幼儿照护服务的，按实际入托人数给予生均100元/月的经费补助。市、区分别建立公办示范性托育服务中心，各乡镇（街道）建立至少1所普惠性托育服务机构，运行经费列入各级财政预算。利用向日葵亲子小屋、工会驿站等公益项目在社区（村）开展嵌入式托育服务的，每个一次性给予建设运行补贴5万元。规范全市保育员预防性健康检查，为已登记备案的市内托育机构保育员每年提供一次免费健康体检。</w:t>
      </w:r>
      <w:r>
        <w:rPr>
          <w:rFonts w:hint="eastAsia" w:ascii="楷体_GB2312" w:hAnsi="楷体_GB2312" w:eastAsia="楷体_GB2312" w:cs="楷体_GB2312"/>
          <w:color w:val="auto"/>
          <w:spacing w:val="0"/>
          <w:kern w:val="0"/>
          <w:sz w:val="32"/>
          <w:szCs w:val="32"/>
          <w:u w:val="none"/>
          <w:lang w:val="en-US" w:eastAsia="zh-CN"/>
        </w:rPr>
        <w:t>（牵头单位：市卫健委；责任单位：市教育局、市财政局、市发改委，市总工会、市妇联、市委社会工作部，各区人民政府）</w:t>
      </w:r>
    </w:p>
    <w:p w14:paraId="6770B2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六、保障生育休假待遇。</w:t>
      </w:r>
      <w:r>
        <w:rPr>
          <w:rFonts w:hint="eastAsia" w:ascii="仿宋" w:hAnsi="仿宋" w:eastAsia="仿宋" w:cs="仿宋"/>
          <w:color w:val="auto"/>
          <w:spacing w:val="0"/>
          <w:kern w:val="2"/>
          <w:sz w:val="32"/>
          <w:szCs w:val="32"/>
          <w:u w:val="none"/>
          <w:lang w:val="en-US" w:eastAsia="zh-CN"/>
        </w:rPr>
        <w:t>政策内生育的妇女，除享受国家规定的产假外，增加产假60天，其配偶享受15天护理假，3岁以下婴幼儿父母每人每年享受累计10天育儿假，每多生育一孩，分别增加产假10天、护理假和育儿假各3天。产假、护理假和育儿假视同出勤，工资、奖金照发。休假期间，生育津贴由生育保险基金按照国家、省政策规定支付。</w:t>
      </w:r>
      <w:r>
        <w:rPr>
          <w:rFonts w:hint="eastAsia" w:ascii="楷体_GB2312" w:hAnsi="楷体_GB2312" w:eastAsia="楷体_GB2312" w:cs="楷体_GB2312"/>
          <w:color w:val="auto"/>
          <w:spacing w:val="0"/>
          <w:kern w:val="0"/>
          <w:sz w:val="32"/>
          <w:szCs w:val="32"/>
          <w:u w:val="none"/>
          <w:lang w:val="en-US" w:eastAsia="zh-CN"/>
        </w:rPr>
        <w:t>（牵头单位：市卫健委、市人社局、市医保局；责任单位：市委组织部、市总工会、市妇联，各区人民政府）</w:t>
      </w:r>
    </w:p>
    <w:p w14:paraId="635CA2C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七、优化教育服务。</w:t>
      </w:r>
      <w:r>
        <w:rPr>
          <w:rFonts w:hint="eastAsia" w:ascii="仿宋" w:hAnsi="仿宋" w:eastAsia="仿宋" w:cs="仿宋"/>
          <w:color w:val="auto"/>
          <w:spacing w:val="0"/>
          <w:kern w:val="2"/>
          <w:sz w:val="32"/>
          <w:szCs w:val="32"/>
          <w:u w:val="none"/>
          <w:lang w:val="en-US" w:eastAsia="zh-CN"/>
        </w:rPr>
        <w:t>符合政策生育且子女落户在本地的家庭，义务教育阶段实施“长幼随学”，多子女家庭子女在同一学段可申请就读同一学校（学区），或就读附近优质学校。支持义务教育阶段学校提供延时托管。鼓励民办幼儿园转型开展托育服务，支持学位富余的幼儿园开设托班，公立幼儿园要利用现有资源带头示范，规范托幼一体化管理服务。</w:t>
      </w:r>
      <w:r>
        <w:rPr>
          <w:rFonts w:hint="eastAsia" w:ascii="楷体_GB2312" w:hAnsi="楷体_GB2312" w:eastAsia="楷体_GB2312" w:cs="楷体_GB2312"/>
          <w:color w:val="auto"/>
          <w:spacing w:val="0"/>
          <w:kern w:val="0"/>
          <w:sz w:val="32"/>
          <w:szCs w:val="32"/>
          <w:u w:val="none"/>
          <w:lang w:val="en-US" w:eastAsia="zh-CN"/>
        </w:rPr>
        <w:t>（牵头单位：市教育局、市卫健委、市发改委；责任单位：各区人民政府）</w:t>
      </w:r>
    </w:p>
    <w:p w14:paraId="56E2FC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八、文旅服务优待。</w:t>
      </w:r>
      <w:r>
        <w:rPr>
          <w:rFonts w:hint="eastAsia" w:ascii="仿宋" w:hAnsi="仿宋" w:eastAsia="仿宋" w:cs="仿宋"/>
          <w:color w:val="auto"/>
          <w:spacing w:val="0"/>
          <w:kern w:val="2"/>
          <w:sz w:val="32"/>
          <w:szCs w:val="32"/>
          <w:u w:val="none"/>
          <w:lang w:val="en-US" w:eastAsia="zh-CN"/>
        </w:rPr>
        <w:t>鼓励和支持收费类A级景区为政策内生育的多孩家庭提供门票减免优待政策，幼儿三周岁前家庭成员均可享受。</w:t>
      </w:r>
      <w:r>
        <w:rPr>
          <w:rFonts w:hint="eastAsia" w:ascii="楷体_GB2312" w:hAnsi="楷体_GB2312" w:eastAsia="楷体_GB2312" w:cs="楷体_GB2312"/>
          <w:color w:val="auto"/>
          <w:spacing w:val="0"/>
          <w:kern w:val="0"/>
          <w:sz w:val="32"/>
          <w:szCs w:val="32"/>
          <w:u w:val="none"/>
          <w:lang w:val="en-US" w:eastAsia="zh-CN"/>
        </w:rPr>
        <w:t>（牵头单位：市文旅局；责任单位：市卫健委、市财政局，各区人民政府）</w:t>
      </w:r>
    </w:p>
    <w:p w14:paraId="2D166C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九、强化住房保障。</w:t>
      </w:r>
      <w:r>
        <w:rPr>
          <w:rFonts w:hint="eastAsia" w:ascii="仿宋" w:hAnsi="仿宋" w:eastAsia="仿宋" w:cs="仿宋"/>
          <w:color w:val="auto"/>
          <w:spacing w:val="0"/>
          <w:kern w:val="2"/>
          <w:sz w:val="32"/>
          <w:szCs w:val="32"/>
          <w:u w:val="none"/>
          <w:lang w:val="en-US" w:eastAsia="zh-CN"/>
        </w:rPr>
        <w:t>对符合生育政策的二孩、三孩家庭，在本市购买新建普通商品住房的，分别给予2万元、3万元的一次性购房补贴。在配租公租房时，对符合本地住房保障条件的家庭，根据未成年子女数量，在户型选择等方面给予适当照顾。二孩及以上家庭购置本市自住住房时，在符合贷款政策条件下，职工及其配偶均在本市正常缴存公积金，且为首套房贷的，贷款最高额度为65万元，非首套首贷或单方职工缴存的，贷款最高额度为60万元。</w:t>
      </w:r>
      <w:r>
        <w:rPr>
          <w:rFonts w:hint="eastAsia" w:ascii="楷体_GB2312" w:hAnsi="楷体_GB2312" w:eastAsia="楷体_GB2312" w:cs="楷体_GB2312"/>
          <w:color w:val="auto"/>
          <w:spacing w:val="0"/>
          <w:kern w:val="0"/>
          <w:sz w:val="32"/>
          <w:szCs w:val="32"/>
          <w:u w:val="none"/>
          <w:lang w:val="en-US" w:eastAsia="zh-CN"/>
        </w:rPr>
        <w:t>（牵头单位：市住房和城市更新局、市公积金中心、市财政局；责任单位：各区人民政府）</w:t>
      </w:r>
    </w:p>
    <w:p w14:paraId="1D3A7E3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pacing w:val="0"/>
          <w:kern w:val="0"/>
          <w:sz w:val="32"/>
          <w:szCs w:val="32"/>
          <w:u w:val="none"/>
          <w:lang w:val="en-US" w:eastAsia="zh-CN"/>
        </w:rPr>
      </w:pPr>
      <w:r>
        <w:rPr>
          <w:rFonts w:hint="eastAsia" w:ascii="黑体" w:hAnsi="黑体" w:eastAsia="黑体" w:cs="黑体"/>
          <w:color w:val="auto"/>
          <w:spacing w:val="0"/>
          <w:kern w:val="0"/>
          <w:sz w:val="32"/>
          <w:szCs w:val="32"/>
          <w:u w:val="none"/>
          <w:lang w:val="en-US" w:eastAsia="zh-CN"/>
        </w:rPr>
        <w:t>十、关爱计生特殊家庭。</w:t>
      </w:r>
      <w:r>
        <w:rPr>
          <w:rFonts w:hint="eastAsia" w:ascii="仿宋" w:hAnsi="仿宋" w:eastAsia="仿宋" w:cs="仿宋"/>
          <w:color w:val="auto"/>
          <w:spacing w:val="0"/>
          <w:kern w:val="2"/>
          <w:sz w:val="32"/>
          <w:szCs w:val="32"/>
          <w:u w:val="none"/>
          <w:lang w:val="en-US" w:eastAsia="zh-CN"/>
        </w:rPr>
        <w:t>落实计生特殊家庭综合保险。计生特殊家庭，经自愿申请，由当地政府优先安排入住指定公办养老机构或医养结合机构并免收床位费。除已纳入鄂州市集中供养的特困人员外，对计生特殊家庭成员中年满60周岁及以上的失能老人，按照每人每月200元标准发放养老服务补贴。</w:t>
      </w:r>
      <w:r>
        <w:rPr>
          <w:rFonts w:hint="eastAsia" w:ascii="楷体_GB2312" w:hAnsi="楷体_GB2312" w:eastAsia="楷体_GB2312" w:cs="楷体_GB2312"/>
          <w:color w:val="auto"/>
          <w:spacing w:val="0"/>
          <w:kern w:val="0"/>
          <w:sz w:val="32"/>
          <w:szCs w:val="32"/>
          <w:u w:val="none"/>
          <w:lang w:val="en-US" w:eastAsia="zh-CN"/>
        </w:rPr>
        <w:t>（牵头单位：市卫健委、市民政局；责任单位：市财政局，各区人民政府）</w:t>
      </w:r>
    </w:p>
    <w:p w14:paraId="02535E0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 w:hAnsi="仿宋" w:eastAsia="仿宋" w:cs="仿宋"/>
          <w:color w:val="auto"/>
          <w:spacing w:val="0"/>
          <w:kern w:val="2"/>
          <w:sz w:val="32"/>
          <w:szCs w:val="32"/>
          <w:u w:val="none"/>
          <w:lang w:val="en-US" w:eastAsia="zh-CN"/>
        </w:rPr>
      </w:pPr>
      <w:r>
        <w:rPr>
          <w:rFonts w:hint="eastAsia" w:ascii="仿宋" w:hAnsi="仿宋" w:eastAsia="仿宋" w:cs="仿宋"/>
          <w:color w:val="auto"/>
          <w:spacing w:val="0"/>
          <w:kern w:val="2"/>
          <w:sz w:val="32"/>
          <w:szCs w:val="32"/>
          <w:u w:val="none"/>
          <w:lang w:val="en-US" w:eastAsia="zh-CN"/>
        </w:rPr>
        <w:t>以上政策适用对象为符合政策生育的鄂州市户籍居民和取得居住证的非鄂州市户籍人员，育儿补贴资金各级财政承担比例按照国家、省有关文件规定。其余所需卫生计生类经费参照《鄂州市人民政府办公室关于印发鄂州市基本公共服务领域市与区共同财政事权和支出责任划分改革方案的通知》（鄂州政办发〔2023〕36号），按财权事权和支出责任相适应的原则，由市、区财政按5∶5比例予以保障。</w:t>
      </w:r>
    </w:p>
    <w:p w14:paraId="4B82D14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 w:hAnsi="仿宋" w:eastAsia="仿宋" w:cs="仿宋"/>
          <w:color w:val="auto"/>
          <w:spacing w:val="0"/>
          <w:kern w:val="2"/>
          <w:sz w:val="32"/>
          <w:szCs w:val="32"/>
          <w:u w:val="none"/>
          <w:lang w:val="en-US" w:eastAsia="zh-CN"/>
        </w:rPr>
      </w:pPr>
      <w:r>
        <w:rPr>
          <w:rFonts w:hint="eastAsia" w:ascii="仿宋" w:hAnsi="仿宋" w:eastAsia="仿宋" w:cs="仿宋"/>
          <w:color w:val="auto"/>
          <w:spacing w:val="0"/>
          <w:kern w:val="2"/>
          <w:sz w:val="32"/>
          <w:szCs w:val="32"/>
          <w:u w:val="none"/>
          <w:lang w:val="en-US" w:eastAsia="zh-CN"/>
        </w:rPr>
        <w:t>本措施自2025年1月1日起实施，有效期为5年，《鄂州市人民政府办公室关于印发推进基本生育免费服务工作实施方案（试行）的通知》（鄂州政办发〔2016〕48号）同时废止。一次性购房补贴按鄂州市住房和城市更新局等五部门印发的《关于进一步优化完善促进我市房地产市场平稳健康发展政策措施的通知》(鄂州住文〔2024]32号)文件执行。各牵头单位另行制定实施细则并负责解释。国家和省出台相关规定的，从其规定。</w:t>
      </w:r>
    </w:p>
    <w:sectPr>
      <w:footerReference r:id="rId3" w:type="default"/>
      <w:pgSz w:w="11906" w:h="16838"/>
      <w:pgMar w:top="2098" w:right="1531" w:bottom="1757" w:left="1531" w:header="851" w:footer="1361" w:gutter="0"/>
      <w:pgNumType w:fmt="decimal"/>
      <w:cols w:space="0" w:num="1"/>
      <w:rtlGutter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24D08-EEB4-47D1-A862-02CBA840B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2F410E6-46FA-4A9A-8E3A-445BEDF8BEF8}"/>
  </w:font>
  <w:font w:name="仿宋_GB2312">
    <w:panose1 w:val="02010609030101010101"/>
    <w:charset w:val="86"/>
    <w:family w:val="modern"/>
    <w:pitch w:val="default"/>
    <w:sig w:usb0="00000001" w:usb1="080E0000" w:usb2="00000000" w:usb3="00000000" w:csb0="00040000" w:csb1="00000000"/>
    <w:embedRegular r:id="rId3" w:fontKey="{587C1083-2D76-4926-9192-77FA04402F24}"/>
  </w:font>
  <w:font w:name="方正小标宋简体">
    <w:panose1 w:val="02000000000000000000"/>
    <w:charset w:val="86"/>
    <w:family w:val="auto"/>
    <w:pitch w:val="default"/>
    <w:sig w:usb0="A00002BF" w:usb1="184F6CFA" w:usb2="00000012" w:usb3="00000000" w:csb0="00040001" w:csb1="00000000"/>
    <w:embedRegular r:id="rId4" w:fontKey="{370F9352-5F83-4766-82F2-99C841487F42}"/>
  </w:font>
  <w:font w:name="楷体_GB2312">
    <w:panose1 w:val="02010609030101010101"/>
    <w:charset w:val="86"/>
    <w:family w:val="auto"/>
    <w:pitch w:val="default"/>
    <w:sig w:usb0="00000001" w:usb1="080E0000" w:usb2="00000000" w:usb3="00000000" w:csb0="00040000" w:csb1="00000000"/>
    <w:embedRegular r:id="rId5" w:fontKey="{85A385EA-8131-4D02-9AD9-8C9635128772}"/>
  </w:font>
  <w:font w:name="楷体">
    <w:panose1 w:val="02010609060101010101"/>
    <w:charset w:val="86"/>
    <w:family w:val="auto"/>
    <w:pitch w:val="default"/>
    <w:sig w:usb0="800002BF" w:usb1="38CF7CFA" w:usb2="00000016" w:usb3="00000000" w:csb0="00040001" w:csb1="00000000"/>
    <w:embedRegular r:id="rId6" w:fontKey="{D63850DC-16F9-43CC-B27D-B181523DA8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D8A6">
    <w:pPr>
      <w:pStyle w:val="4"/>
      <w:keepNext w:val="0"/>
      <w:keepLines w:val="0"/>
      <w:pageBreakBefore w:val="0"/>
      <w:widowControl w:val="0"/>
      <w:kinsoku/>
      <w:wordWrap/>
      <w:overflowPunct/>
      <w:topLinePunct w:val="0"/>
      <w:autoSpaceDE/>
      <w:autoSpaceDN/>
      <w:bidi w:val="0"/>
      <w:adjustRightInd w:val="0"/>
      <w:snapToGrid w:val="0"/>
      <w:spacing w:line="240" w:lineRule="auto"/>
      <w:textAlignment w:val="baseline"/>
      <w:rPr>
        <w:kern w:val="0"/>
      </w:rPr>
    </w:pPr>
    <w:r>
      <w:rPr>
        <w:kern w:val="0"/>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92D6EA">
                          <w:pPr>
                            <w:pStyle w:val="4"/>
                            <w:keepNext w:val="0"/>
                            <w:keepLines w:val="0"/>
                            <w:pageBreakBefore w:val="0"/>
                            <w:widowControl w:val="0"/>
                            <w:kinsoku/>
                            <w:wordWrap/>
                            <w:overflowPunct/>
                            <w:topLinePunct w:val="0"/>
                            <w:autoSpaceDE/>
                            <w:autoSpaceDN/>
                            <w:bidi w:val="0"/>
                            <w:adjustRightInd w:val="0"/>
                            <w:snapToGrid w:val="0"/>
                            <w:spacing w:line="240" w:lineRule="auto"/>
                            <w:ind w:left="420" w:leftChars="150" w:right="420" w:rightChars="150"/>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fldChar w:fldCharType="begin"/>
                          </w:r>
                          <w:r>
                            <w:rPr>
                              <w:rFonts w:hint="eastAsia" w:ascii="宋体" w:hAnsi="宋体" w:eastAsia="宋体" w:cs="宋体"/>
                              <w:kern w:val="0"/>
                              <w:sz w:val="28"/>
                              <w:szCs w:val="28"/>
                              <w:lang w:eastAsia="zh-CN"/>
                            </w:rPr>
                            <w:instrText xml:space="preserve"> PAGE  \* MERGEFORMAT </w:instrText>
                          </w:r>
                          <w:r>
                            <w:rPr>
                              <w:rFonts w:hint="eastAsia" w:ascii="宋体" w:hAnsi="宋体" w:eastAsia="宋体" w:cs="宋体"/>
                              <w:kern w:val="0"/>
                              <w:sz w:val="28"/>
                              <w:szCs w:val="28"/>
                              <w:lang w:eastAsia="zh-CN"/>
                            </w:rPr>
                            <w:fldChar w:fldCharType="separate"/>
                          </w:r>
                          <w:r>
                            <w:rPr>
                              <w:rFonts w:hint="eastAsia" w:ascii="宋体" w:hAnsi="宋体" w:eastAsia="宋体" w:cs="宋体"/>
                              <w:kern w:val="0"/>
                              <w:sz w:val="28"/>
                              <w:szCs w:val="28"/>
                              <w:lang w:eastAsia="zh-CN"/>
                            </w:rPr>
                            <w:t>1</w:t>
                          </w:r>
                          <w:r>
                            <w:rPr>
                              <w:rFonts w:hint="eastAsia" w:ascii="宋体" w:hAnsi="宋体" w:eastAsia="宋体" w:cs="宋体"/>
                              <w:kern w:val="0"/>
                              <w:sz w:val="28"/>
                              <w:szCs w:val="28"/>
                              <w:lang w:eastAsia="zh-CN"/>
                            </w:rPr>
                            <w:fldChar w:fldCharType="end"/>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D92D6EA">
                    <w:pPr>
                      <w:pStyle w:val="4"/>
                      <w:keepNext w:val="0"/>
                      <w:keepLines w:val="0"/>
                      <w:pageBreakBefore w:val="0"/>
                      <w:widowControl w:val="0"/>
                      <w:kinsoku/>
                      <w:wordWrap/>
                      <w:overflowPunct/>
                      <w:topLinePunct w:val="0"/>
                      <w:autoSpaceDE/>
                      <w:autoSpaceDN/>
                      <w:bidi w:val="0"/>
                      <w:adjustRightInd w:val="0"/>
                      <w:snapToGrid w:val="0"/>
                      <w:spacing w:line="240" w:lineRule="auto"/>
                      <w:ind w:left="420" w:leftChars="150" w:right="420" w:rightChars="150"/>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fldChar w:fldCharType="begin"/>
                    </w:r>
                    <w:r>
                      <w:rPr>
                        <w:rFonts w:hint="eastAsia" w:ascii="宋体" w:hAnsi="宋体" w:eastAsia="宋体" w:cs="宋体"/>
                        <w:kern w:val="0"/>
                        <w:sz w:val="28"/>
                        <w:szCs w:val="28"/>
                        <w:lang w:eastAsia="zh-CN"/>
                      </w:rPr>
                      <w:instrText xml:space="preserve"> PAGE  \* MERGEFORMAT </w:instrText>
                    </w:r>
                    <w:r>
                      <w:rPr>
                        <w:rFonts w:hint="eastAsia" w:ascii="宋体" w:hAnsi="宋体" w:eastAsia="宋体" w:cs="宋体"/>
                        <w:kern w:val="0"/>
                        <w:sz w:val="28"/>
                        <w:szCs w:val="28"/>
                        <w:lang w:eastAsia="zh-CN"/>
                      </w:rPr>
                      <w:fldChar w:fldCharType="separate"/>
                    </w:r>
                    <w:r>
                      <w:rPr>
                        <w:rFonts w:hint="eastAsia" w:ascii="宋体" w:hAnsi="宋体" w:eastAsia="宋体" w:cs="宋体"/>
                        <w:kern w:val="0"/>
                        <w:sz w:val="28"/>
                        <w:szCs w:val="28"/>
                        <w:lang w:eastAsia="zh-CN"/>
                      </w:rPr>
                      <w:t>1</w:t>
                    </w:r>
                    <w:r>
                      <w:rPr>
                        <w:rFonts w:hint="eastAsia" w:ascii="宋体" w:hAnsi="宋体" w:eastAsia="宋体" w:cs="宋体"/>
                        <w:kern w:val="0"/>
                        <w:sz w:val="28"/>
                        <w:szCs w:val="28"/>
                        <w:lang w:eastAsia="zh-CN"/>
                      </w:rPr>
                      <w:fldChar w:fldCharType="end"/>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32919"/>
    <w:rsid w:val="0B7A3F9D"/>
    <w:rsid w:val="0FF13065"/>
    <w:rsid w:val="1BE163F0"/>
    <w:rsid w:val="1DAB6C72"/>
    <w:rsid w:val="20F642FC"/>
    <w:rsid w:val="29DA3A6C"/>
    <w:rsid w:val="2B8D3859"/>
    <w:rsid w:val="3217624D"/>
    <w:rsid w:val="366D7B8C"/>
    <w:rsid w:val="38E01FC9"/>
    <w:rsid w:val="3C9F32D2"/>
    <w:rsid w:val="41D13F2D"/>
    <w:rsid w:val="4DDB74C8"/>
    <w:rsid w:val="5A3115B5"/>
    <w:rsid w:val="5AA41583"/>
    <w:rsid w:val="75D72BC1"/>
    <w:rsid w:val="76254DF7"/>
    <w:rsid w:val="7D6B142E"/>
    <w:rsid w:val="BFF7A3B9"/>
    <w:rsid w:val="EEFF544B"/>
    <w:rsid w:val="FAAB15DD"/>
    <w:rsid w:val="FDEF8D0C"/>
    <w:rsid w:val="FFBD82FA"/>
    <w:rsid w:val="FFD66C66"/>
    <w:rsid w:val="FFF5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28"/>
      <w:szCs w:val="28"/>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next w:val="1"/>
    <w:qFormat/>
    <w:uiPriority w:val="0"/>
    <w:pPr>
      <w:widowControl w:val="0"/>
      <w:adjustRightInd w:val="0"/>
      <w:spacing w:line="560" w:lineRule="exact"/>
      <w:ind w:firstLine="420"/>
      <w:jc w:val="both"/>
      <w:textAlignment w:val="baseline"/>
    </w:pPr>
    <w:rPr>
      <w:rFonts w:ascii="Times New Roman" w:hAnsi="Times New Roman" w:eastAsia="仿宋_GB2312" w:cs="Times New Roman"/>
      <w:sz w:val="30"/>
      <w:lang w:val="en-US" w:eastAsia="zh-CN" w:bidi="ar-SA"/>
    </w:rPr>
  </w:style>
  <w:style w:type="paragraph" w:styleId="3">
    <w:name w:val="Body Text Indent"/>
    <w:qFormat/>
    <w:uiPriority w:val="0"/>
    <w:pPr>
      <w:widowControl w:val="0"/>
      <w:ind w:left="420" w:leftChars="200"/>
      <w:jc w:val="both"/>
    </w:pPr>
    <w:rPr>
      <w:rFonts w:ascii="Calibri" w:hAnsi="Calibri" w:eastAsia="宋体" w:cs="仿宋"/>
      <w:kern w:val="2"/>
      <w:sz w:val="28"/>
      <w:szCs w:val="28"/>
      <w:lang w:val="en-US" w:eastAsia="zh-CN" w:bidi="ar-SA"/>
    </w:rPr>
  </w:style>
  <w:style w:type="paragraph" w:styleId="4">
    <w:name w:val="footer"/>
    <w:qFormat/>
    <w:uiPriority w:val="99"/>
    <w:pPr>
      <w:widowControl w:val="0"/>
      <w:tabs>
        <w:tab w:val="center" w:pos="4153"/>
        <w:tab w:val="right" w:pos="8306"/>
      </w:tabs>
      <w:adjustRightInd w:val="0"/>
      <w:snapToGrid w:val="0"/>
      <w:spacing w:line="560" w:lineRule="exact"/>
      <w:jc w:val="left"/>
      <w:textAlignment w:val="baseline"/>
    </w:pPr>
    <w:rPr>
      <w:rFonts w:ascii="Times New Roman" w:hAnsi="Times New Roman" w:eastAsia="仿宋_GB2312" w:cs="Times New Roman"/>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qFormat/>
    <w:uiPriority w:val="0"/>
    <w:pPr>
      <w:widowControl w:val="0"/>
      <w:ind w:left="420" w:leftChars="200" w:firstLine="420" w:firstLineChars="200"/>
      <w:jc w:val="both"/>
    </w:pPr>
    <w:rPr>
      <w:rFonts w:ascii="Calibri" w:hAnsi="Calibri" w:eastAsia="宋体" w:cs="仿宋"/>
      <w:kern w:val="2"/>
      <w:sz w:val="28"/>
      <w:szCs w:val="28"/>
      <w:lang w:val="en-US" w:eastAsia="zh-CN" w:bidi="ar-SA"/>
    </w:rPr>
  </w:style>
  <w:style w:type="character" w:styleId="9">
    <w:name w:val="Emphasis"/>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2309</Words>
  <Characters>2358</Characters>
  <Paragraphs>46</Paragraphs>
  <TotalTime>13</TotalTime>
  <ScaleCrop>false</ScaleCrop>
  <LinksUpToDate>false</LinksUpToDate>
  <CharactersWithSpaces>2358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2024-12-10T15:11:00Z</dcterms:created>
  <dc:creator>小满</dc:creator>
  <cp:lastModifiedBy>小满</cp:lastModifiedBy>
  <dcterms:modified xsi:type="dcterms:W3CDTF">2025-11-13T08:13:43Z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75885502118D4DF09ABC5D24C2ABC03C_13</vt:lpwstr>
  </property>
  <property fmtid="{D5CDD505-2E9C-101B-9397-08002B2CF9AE}" pid="4" name="KSOTemplateDocerSaveRecord">
    <vt:lpwstr>eyJoZGlkIjoiZTBjOThlMjc4YTYzNDk4ZmViNjNlMWFjZTZlMjMyNjciLCJ1c2VySWQiOiIyNTc5MjM4NDYifQ==</vt:lpwstr>
  </property>
</Properties>
</file>