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600" w:lineRule="exact"/>
        <w:jc w:val="center"/>
        <w:rPr>
          <w:rFonts w:ascii="宋体" w:hAnsi="宋体" w:eastAsia="宋体" w:cs="宋体"/>
          <w:b/>
          <w:bCs/>
          <w:sz w:val="40"/>
          <w:szCs w:val="40"/>
        </w:rPr>
      </w:pPr>
      <w:r>
        <w:rPr>
          <w:rFonts w:hint="eastAsia" w:ascii="宋体" w:hAnsi="宋体" w:eastAsia="宋体" w:cs="宋体"/>
          <w:b/>
          <w:bCs/>
          <w:sz w:val="40"/>
          <w:szCs w:val="40"/>
        </w:rPr>
        <w:t>2020年鄂州市公立医院管理中心决算</w:t>
      </w:r>
    </w:p>
    <w:p>
      <w:pPr>
        <w:spacing w:afterLines="100"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目  录</w:t>
      </w:r>
    </w:p>
    <w:p>
      <w:pPr>
        <w:rPr>
          <w:rFonts w:ascii="仿宋" w:hAnsi="仿宋" w:eastAsia="仿宋" w:cs="仿宋"/>
          <w:b/>
          <w:bCs/>
          <w:sz w:val="32"/>
          <w:szCs w:val="32"/>
        </w:rPr>
      </w:pPr>
      <w:r>
        <w:rPr>
          <w:rFonts w:hint="eastAsia" w:ascii="仿宋" w:hAnsi="仿宋" w:eastAsia="仿宋" w:cs="仿宋"/>
          <w:b/>
          <w:bCs/>
          <w:sz w:val="32"/>
          <w:szCs w:val="32"/>
        </w:rPr>
        <w:t>第一部分鄂州市公立医院管理中心概况</w:t>
      </w:r>
    </w:p>
    <w:p>
      <w:pPr>
        <w:ind w:firstLine="640"/>
        <w:rPr>
          <w:rFonts w:ascii="仿宋" w:hAnsi="仿宋" w:eastAsia="仿宋" w:cs="仿宋"/>
          <w:sz w:val="32"/>
          <w:szCs w:val="32"/>
        </w:rPr>
      </w:pPr>
      <w:r>
        <w:rPr>
          <w:rFonts w:hint="eastAsia" w:ascii="仿宋" w:hAnsi="仿宋" w:eastAsia="仿宋" w:cs="仿宋"/>
          <w:sz w:val="32"/>
          <w:szCs w:val="32"/>
        </w:rPr>
        <w:t>一、主要职能</w:t>
      </w:r>
    </w:p>
    <w:p>
      <w:pPr>
        <w:ind w:firstLine="640"/>
        <w:rPr>
          <w:rFonts w:ascii="仿宋" w:hAnsi="仿宋" w:eastAsia="仿宋" w:cs="仿宋"/>
          <w:sz w:val="32"/>
          <w:szCs w:val="32"/>
        </w:rPr>
      </w:pPr>
      <w:r>
        <w:rPr>
          <w:rFonts w:hint="eastAsia" w:ascii="仿宋" w:hAnsi="仿宋" w:eastAsia="仿宋" w:cs="仿宋"/>
          <w:sz w:val="32"/>
          <w:szCs w:val="32"/>
        </w:rPr>
        <w:t>二、机构设置情况及部门决算</w:t>
      </w:r>
      <w:bookmarkStart w:id="0" w:name="_GoBack"/>
      <w:bookmarkEnd w:id="0"/>
      <w:r>
        <w:rPr>
          <w:rFonts w:hint="eastAsia" w:ascii="仿宋" w:hAnsi="仿宋" w:eastAsia="仿宋" w:cs="仿宋"/>
          <w:sz w:val="32"/>
          <w:szCs w:val="32"/>
        </w:rPr>
        <w:t>单位组成</w:t>
      </w:r>
    </w:p>
    <w:p>
      <w:pPr>
        <w:ind w:firstLine="640"/>
        <w:rPr>
          <w:rFonts w:ascii="仿宋" w:hAnsi="仿宋" w:eastAsia="仿宋" w:cs="仿宋"/>
          <w:sz w:val="32"/>
          <w:szCs w:val="32"/>
        </w:rPr>
      </w:pPr>
      <w:r>
        <w:rPr>
          <w:rFonts w:hint="eastAsia" w:ascii="仿宋" w:hAnsi="仿宋" w:eastAsia="仿宋" w:cs="仿宋"/>
          <w:sz w:val="32"/>
          <w:szCs w:val="32"/>
        </w:rPr>
        <w:t>三、部门人员构成</w:t>
      </w:r>
    </w:p>
    <w:p>
      <w:pPr>
        <w:rPr>
          <w:rFonts w:ascii="仿宋" w:hAnsi="仿宋" w:eastAsia="仿宋" w:cs="仿宋"/>
          <w:b/>
          <w:bCs/>
          <w:sz w:val="32"/>
          <w:szCs w:val="32"/>
        </w:rPr>
      </w:pPr>
      <w:r>
        <w:rPr>
          <w:rFonts w:hint="eastAsia" w:ascii="仿宋" w:hAnsi="仿宋" w:eastAsia="仿宋" w:cs="仿宋"/>
          <w:b/>
          <w:bCs/>
          <w:sz w:val="32"/>
          <w:szCs w:val="32"/>
        </w:rPr>
        <w:t>第二部分鄂州市公立医院管理中心2020年部门决算安排情况说明</w:t>
      </w:r>
    </w:p>
    <w:p>
      <w:pPr>
        <w:rPr>
          <w:rFonts w:ascii="仿宋" w:hAnsi="仿宋" w:eastAsia="仿宋" w:cs="仿宋"/>
          <w:sz w:val="32"/>
          <w:szCs w:val="32"/>
        </w:rPr>
      </w:pPr>
      <w:r>
        <w:rPr>
          <w:rFonts w:hint="eastAsia" w:ascii="仿宋" w:hAnsi="仿宋" w:eastAsia="仿宋" w:cs="仿宋"/>
          <w:sz w:val="32"/>
          <w:szCs w:val="32"/>
        </w:rPr>
        <w:t>　　一、部门决算收支情况总体说明</w:t>
      </w:r>
    </w:p>
    <w:p>
      <w:pPr>
        <w:ind w:firstLine="640"/>
        <w:rPr>
          <w:rFonts w:ascii="仿宋" w:hAnsi="仿宋" w:eastAsia="仿宋" w:cs="仿宋"/>
          <w:sz w:val="32"/>
          <w:szCs w:val="32"/>
        </w:rPr>
      </w:pPr>
      <w:r>
        <w:rPr>
          <w:rFonts w:hint="eastAsia" w:ascii="仿宋" w:hAnsi="仿宋" w:eastAsia="仿宋" w:cs="仿宋"/>
          <w:sz w:val="32"/>
          <w:szCs w:val="32"/>
        </w:rPr>
        <w:t>二、部门决算收支增减变化情况说明</w:t>
      </w:r>
    </w:p>
    <w:p>
      <w:pPr>
        <w:ind w:firstLine="640"/>
        <w:rPr>
          <w:rFonts w:ascii="仿宋" w:hAnsi="仿宋" w:eastAsia="仿宋" w:cs="仿宋"/>
          <w:sz w:val="32"/>
          <w:szCs w:val="32"/>
        </w:rPr>
      </w:pPr>
      <w:r>
        <w:rPr>
          <w:rFonts w:hint="eastAsia" w:ascii="仿宋" w:hAnsi="仿宋" w:eastAsia="仿宋" w:cs="仿宋"/>
          <w:sz w:val="32"/>
          <w:szCs w:val="32"/>
        </w:rPr>
        <w:t>三、财政拨款收支决算情况说明</w:t>
      </w:r>
    </w:p>
    <w:p>
      <w:pPr>
        <w:ind w:firstLine="640"/>
        <w:rPr>
          <w:rFonts w:ascii="仿宋" w:hAnsi="仿宋" w:eastAsia="仿宋" w:cs="仿宋"/>
          <w:sz w:val="32"/>
          <w:szCs w:val="32"/>
        </w:rPr>
      </w:pPr>
      <w:r>
        <w:rPr>
          <w:rFonts w:hint="eastAsia" w:ascii="仿宋" w:hAnsi="仿宋" w:eastAsia="仿宋" w:cs="仿宋"/>
          <w:sz w:val="32"/>
          <w:szCs w:val="32"/>
        </w:rPr>
        <w:t>四、一般公共预算支出决算情况说明</w:t>
      </w:r>
    </w:p>
    <w:p>
      <w:pPr>
        <w:ind w:firstLine="640"/>
        <w:rPr>
          <w:rFonts w:ascii="仿宋" w:hAnsi="仿宋" w:eastAsia="仿宋" w:cs="仿宋"/>
          <w:sz w:val="32"/>
          <w:szCs w:val="32"/>
        </w:rPr>
      </w:pPr>
      <w:r>
        <w:rPr>
          <w:rFonts w:hint="eastAsia" w:ascii="仿宋" w:hAnsi="仿宋" w:eastAsia="仿宋" w:cs="仿宋"/>
          <w:sz w:val="32"/>
          <w:szCs w:val="32"/>
        </w:rPr>
        <w:t>五、一般公共预算基本支出决算情况说明</w:t>
      </w:r>
    </w:p>
    <w:p>
      <w:pPr>
        <w:ind w:firstLine="640"/>
        <w:rPr>
          <w:rFonts w:ascii="仿宋" w:hAnsi="仿宋" w:eastAsia="仿宋" w:cs="仿宋"/>
          <w:sz w:val="32"/>
          <w:szCs w:val="32"/>
        </w:rPr>
      </w:pPr>
      <w:r>
        <w:rPr>
          <w:rFonts w:hint="eastAsia" w:ascii="仿宋" w:hAnsi="仿宋" w:eastAsia="仿宋" w:cs="仿宋"/>
          <w:sz w:val="32"/>
          <w:szCs w:val="32"/>
        </w:rPr>
        <w:t>六、机关运行经费执行情况说明</w:t>
      </w:r>
    </w:p>
    <w:p>
      <w:pPr>
        <w:ind w:firstLine="640"/>
        <w:rPr>
          <w:rFonts w:ascii="仿宋" w:hAnsi="仿宋" w:eastAsia="仿宋" w:cs="仿宋"/>
          <w:sz w:val="32"/>
          <w:szCs w:val="32"/>
        </w:rPr>
      </w:pPr>
      <w:r>
        <w:rPr>
          <w:rFonts w:hint="eastAsia" w:ascii="仿宋" w:hAnsi="仿宋" w:eastAsia="仿宋" w:cs="仿宋"/>
          <w:sz w:val="32"/>
          <w:szCs w:val="32"/>
        </w:rPr>
        <w:t>七、国有资产占用情况说明</w:t>
      </w:r>
    </w:p>
    <w:p>
      <w:pPr>
        <w:ind w:firstLine="640"/>
        <w:rPr>
          <w:rFonts w:ascii="仿宋" w:hAnsi="仿宋" w:eastAsia="仿宋" w:cs="仿宋"/>
          <w:sz w:val="32"/>
          <w:szCs w:val="32"/>
        </w:rPr>
      </w:pPr>
      <w:r>
        <w:rPr>
          <w:rFonts w:hint="eastAsia" w:ascii="仿宋" w:hAnsi="仿宋" w:eastAsia="仿宋" w:cs="仿宋"/>
          <w:sz w:val="32"/>
          <w:szCs w:val="32"/>
        </w:rPr>
        <w:t>八、预算绩效（含重点项目预算的绩效评价结果）情况说明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九、政府采购执行情况说明</w:t>
      </w:r>
    </w:p>
    <w:p>
      <w:pPr>
        <w:ind w:firstLine="640" w:firstLineChars="200"/>
        <w:rPr>
          <w:rFonts w:ascii="仿宋" w:hAnsi="仿宋" w:eastAsia="仿宋" w:cs="仿宋"/>
          <w:sz w:val="32"/>
          <w:szCs w:val="32"/>
        </w:rPr>
      </w:pPr>
      <w:r>
        <w:rPr>
          <w:rFonts w:hint="eastAsia" w:ascii="仿宋" w:hAnsi="仿宋" w:eastAsia="仿宋" w:cs="仿宋"/>
          <w:sz w:val="32"/>
          <w:szCs w:val="32"/>
        </w:rPr>
        <w:t>十、一般公共预算“三公”经费支出决算情况说明</w:t>
      </w:r>
    </w:p>
    <w:p>
      <w:pPr>
        <w:ind w:firstLine="640" w:firstLineChars="200"/>
        <w:rPr>
          <w:rFonts w:ascii="仿宋" w:hAnsi="仿宋" w:eastAsia="仿宋" w:cs="仿宋"/>
          <w:sz w:val="32"/>
          <w:szCs w:val="32"/>
        </w:rPr>
      </w:pPr>
      <w:r>
        <w:rPr>
          <w:rFonts w:hint="eastAsia" w:ascii="仿宋" w:hAnsi="仿宋" w:eastAsia="仿宋" w:cs="仿宋"/>
          <w:sz w:val="32"/>
          <w:szCs w:val="32"/>
        </w:rPr>
        <w:t>十一、政府性基金预算支出决算情况说明</w:t>
      </w:r>
    </w:p>
    <w:p>
      <w:pPr>
        <w:rPr>
          <w:rFonts w:ascii="仿宋" w:hAnsi="仿宋" w:eastAsia="仿宋" w:cs="仿宋"/>
          <w:b/>
          <w:bCs/>
          <w:sz w:val="32"/>
          <w:szCs w:val="32"/>
        </w:rPr>
      </w:pPr>
      <w:r>
        <w:rPr>
          <w:rFonts w:hint="eastAsia" w:ascii="仿宋" w:hAnsi="仿宋" w:eastAsia="仿宋" w:cs="仿宋"/>
          <w:b/>
          <w:bCs/>
          <w:sz w:val="32"/>
          <w:szCs w:val="32"/>
        </w:rPr>
        <w:t>第三部分 名词解释</w:t>
      </w:r>
    </w:p>
    <w:p>
      <w:pPr>
        <w:rPr>
          <w:rFonts w:ascii="仿宋" w:hAnsi="仿宋" w:eastAsia="仿宋" w:cs="仿宋"/>
          <w:b/>
          <w:bCs/>
          <w:sz w:val="32"/>
          <w:szCs w:val="32"/>
        </w:rPr>
      </w:pPr>
      <w:r>
        <w:rPr>
          <w:rFonts w:hint="eastAsia" w:ascii="仿宋" w:hAnsi="仿宋" w:eastAsia="仿宋" w:cs="仿宋"/>
          <w:b/>
          <w:bCs/>
          <w:sz w:val="32"/>
          <w:szCs w:val="32"/>
        </w:rPr>
        <w:t>第四部分鄂州市公立医院管理中心2020年部门决算表</w:t>
      </w:r>
    </w:p>
    <w:p>
      <w:pPr>
        <w:rPr>
          <w:rFonts w:ascii="仿宋" w:hAnsi="仿宋" w:eastAsia="仿宋" w:cs="仿宋"/>
          <w:sz w:val="32"/>
          <w:szCs w:val="32"/>
        </w:rPr>
      </w:pPr>
      <w:r>
        <w:rPr>
          <w:rFonts w:hint="eastAsia" w:ascii="仿宋" w:hAnsi="仿宋" w:eastAsia="仿宋" w:cs="仿宋"/>
          <w:sz w:val="32"/>
          <w:szCs w:val="32"/>
        </w:rPr>
        <w:t>　　一、部门收支决算总表</w:t>
      </w:r>
    </w:p>
    <w:p>
      <w:pPr>
        <w:rPr>
          <w:rFonts w:ascii="仿宋" w:hAnsi="仿宋" w:eastAsia="仿宋" w:cs="仿宋"/>
          <w:sz w:val="32"/>
          <w:szCs w:val="32"/>
        </w:rPr>
      </w:pPr>
      <w:r>
        <w:rPr>
          <w:rFonts w:hint="eastAsia" w:ascii="仿宋" w:hAnsi="仿宋" w:eastAsia="仿宋" w:cs="仿宋"/>
          <w:sz w:val="32"/>
          <w:szCs w:val="32"/>
        </w:rPr>
        <w:t>　　二、部门收入决算总表</w:t>
      </w:r>
    </w:p>
    <w:p>
      <w:pPr>
        <w:rPr>
          <w:rFonts w:ascii="仿宋" w:hAnsi="仿宋" w:eastAsia="仿宋" w:cs="仿宋"/>
          <w:sz w:val="32"/>
          <w:szCs w:val="32"/>
        </w:rPr>
      </w:pPr>
      <w:r>
        <w:rPr>
          <w:rFonts w:hint="eastAsia" w:ascii="仿宋" w:hAnsi="仿宋" w:eastAsia="仿宋" w:cs="仿宋"/>
          <w:sz w:val="32"/>
          <w:szCs w:val="32"/>
        </w:rPr>
        <w:t>　　三、部门支出决算总表</w:t>
      </w:r>
    </w:p>
    <w:p>
      <w:pPr>
        <w:rPr>
          <w:rFonts w:ascii="仿宋" w:hAnsi="仿宋" w:eastAsia="仿宋" w:cs="仿宋"/>
          <w:sz w:val="32"/>
          <w:szCs w:val="32"/>
        </w:rPr>
      </w:pPr>
      <w:r>
        <w:rPr>
          <w:rFonts w:hint="eastAsia" w:ascii="仿宋" w:hAnsi="仿宋" w:eastAsia="仿宋" w:cs="仿宋"/>
          <w:sz w:val="32"/>
          <w:szCs w:val="32"/>
        </w:rPr>
        <w:t>　　四、财政拨款收支决算总表</w:t>
      </w:r>
    </w:p>
    <w:p>
      <w:pPr>
        <w:rPr>
          <w:rFonts w:ascii="仿宋" w:hAnsi="仿宋" w:eastAsia="仿宋" w:cs="仿宋"/>
          <w:sz w:val="32"/>
          <w:szCs w:val="32"/>
        </w:rPr>
      </w:pPr>
      <w:r>
        <w:rPr>
          <w:rFonts w:hint="eastAsia" w:ascii="仿宋" w:hAnsi="仿宋" w:eastAsia="仿宋" w:cs="仿宋"/>
          <w:sz w:val="32"/>
          <w:szCs w:val="32"/>
        </w:rPr>
        <w:t>　　五、一般公共预算支出决算表</w:t>
      </w:r>
    </w:p>
    <w:p>
      <w:pPr>
        <w:rPr>
          <w:rFonts w:ascii="仿宋" w:hAnsi="仿宋" w:eastAsia="仿宋" w:cs="仿宋"/>
          <w:sz w:val="32"/>
          <w:szCs w:val="32"/>
        </w:rPr>
      </w:pPr>
      <w:r>
        <w:rPr>
          <w:rFonts w:hint="eastAsia" w:ascii="仿宋" w:hAnsi="仿宋" w:eastAsia="仿宋" w:cs="仿宋"/>
          <w:sz w:val="32"/>
          <w:szCs w:val="32"/>
        </w:rPr>
        <w:t>　　六、一般公共预算基本支出决算表</w:t>
      </w:r>
    </w:p>
    <w:p>
      <w:pPr>
        <w:rPr>
          <w:rFonts w:ascii="仿宋" w:hAnsi="仿宋" w:eastAsia="仿宋" w:cs="仿宋"/>
          <w:sz w:val="32"/>
          <w:szCs w:val="32"/>
        </w:rPr>
      </w:pPr>
      <w:r>
        <w:rPr>
          <w:rFonts w:hint="eastAsia" w:ascii="仿宋" w:hAnsi="仿宋" w:eastAsia="仿宋" w:cs="仿宋"/>
          <w:sz w:val="32"/>
          <w:szCs w:val="32"/>
        </w:rPr>
        <w:t>　　七、政府性基金预算支出决算表</w:t>
      </w:r>
    </w:p>
    <w:p>
      <w:pPr>
        <w:rPr>
          <w:rFonts w:ascii="仿宋" w:hAnsi="仿宋" w:eastAsia="仿宋" w:cs="仿宋"/>
          <w:sz w:val="32"/>
          <w:szCs w:val="32"/>
        </w:rPr>
      </w:pPr>
      <w:r>
        <w:rPr>
          <w:rFonts w:hint="eastAsia" w:ascii="仿宋" w:hAnsi="仿宋" w:eastAsia="仿宋" w:cs="仿宋"/>
          <w:sz w:val="32"/>
          <w:szCs w:val="32"/>
        </w:rPr>
        <w:t>　　八、一般公共预算“三公”经费支出决算表</w:t>
      </w:r>
    </w:p>
    <w:p>
      <w:pPr>
        <w:spacing w:afterLines="100" w:line="600" w:lineRule="exact"/>
        <w:jc w:val="center"/>
        <w:rPr>
          <w:rFonts w:hint="eastAsia" w:ascii="宋体" w:hAnsi="宋体" w:eastAsia="宋体" w:cs="宋体"/>
          <w:b/>
          <w:bCs/>
          <w:sz w:val="40"/>
          <w:szCs w:val="40"/>
        </w:rPr>
      </w:pPr>
    </w:p>
    <w:p>
      <w:pPr>
        <w:shd w:val="clear" w:color="auto" w:fill="FFFFFF"/>
        <w:ind w:firstLine="560"/>
        <w:jc w:val="center"/>
        <w:rPr>
          <w:rFonts w:ascii="方正小标宋简体" w:hAnsi="Calibri" w:eastAsia="方正小标宋简体" w:cs="宋体"/>
          <w:color w:val="333333"/>
          <w:sz w:val="40"/>
          <w:szCs w:val="40"/>
        </w:rPr>
      </w:pPr>
      <w:r>
        <w:rPr>
          <w:rFonts w:hint="eastAsia" w:ascii="方正小标宋简体" w:hAnsi="Calibri" w:eastAsia="方正小标宋简体" w:cs="宋体"/>
          <w:color w:val="333333"/>
          <w:sz w:val="40"/>
          <w:szCs w:val="40"/>
        </w:rPr>
        <w:t>第一部分    鄂州市公立医院管理中心概况</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一、部门主要职能</w:t>
      </w:r>
    </w:p>
    <w:p>
      <w:pPr>
        <w:ind w:firstLine="640"/>
        <w:rPr>
          <w:rFonts w:ascii="仿宋" w:hAnsi="仿宋" w:eastAsia="仿宋" w:cs="仿宋"/>
          <w:sz w:val="32"/>
          <w:szCs w:val="32"/>
        </w:rPr>
      </w:pPr>
      <w:r>
        <w:rPr>
          <w:rFonts w:hint="eastAsia" w:ascii="仿宋" w:hAnsi="仿宋" w:eastAsia="仿宋" w:cs="仿宋"/>
          <w:sz w:val="32"/>
          <w:szCs w:val="32"/>
        </w:rPr>
        <w:t>对鄂州市公立医院的资产、财务、人事、薪酬、绩效、管理目标、财政投入等方面进行监管，推进公立医院综合体制改革，提升医疗服务质量和水平。</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二、机构设置情况及部门决算单位组成</w:t>
      </w:r>
    </w:p>
    <w:p>
      <w:pPr>
        <w:ind w:firstLine="640"/>
        <w:rPr>
          <w:rFonts w:ascii="仿宋" w:hAnsi="仿宋" w:eastAsia="仿宋" w:cs="仿宋"/>
          <w:sz w:val="32"/>
          <w:szCs w:val="32"/>
        </w:rPr>
      </w:pPr>
      <w:r>
        <w:rPr>
          <w:rFonts w:hint="eastAsia" w:ascii="仿宋" w:hAnsi="仿宋" w:eastAsia="仿宋" w:cs="仿宋"/>
          <w:sz w:val="32"/>
          <w:szCs w:val="32"/>
        </w:rPr>
        <w:t>部门决算组成单位就是鄂州市公立医院管理中心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三、部门人员构成</w:t>
      </w:r>
    </w:p>
    <w:p>
      <w:pPr>
        <w:ind w:firstLine="640" w:firstLineChars="200"/>
        <w:rPr>
          <w:rFonts w:ascii="仿宋" w:hAnsi="仿宋" w:eastAsia="仿宋" w:cs="仿宋"/>
          <w:sz w:val="32"/>
          <w:szCs w:val="32"/>
        </w:rPr>
      </w:pPr>
      <w:r>
        <w:rPr>
          <w:rFonts w:hint="eastAsia" w:ascii="仿宋" w:hAnsi="仿宋" w:eastAsia="仿宋" w:cs="仿宋"/>
          <w:sz w:val="32"/>
          <w:szCs w:val="32"/>
        </w:rPr>
        <w:t>2020年，市医管中心编制人数9人，在职在编实有人数5人。</w:t>
      </w:r>
    </w:p>
    <w:p>
      <w:pPr>
        <w:shd w:val="clear" w:color="auto" w:fill="FFFFFF"/>
        <w:spacing w:line="620" w:lineRule="atLeast"/>
        <w:ind w:firstLine="560"/>
        <w:rPr>
          <w:rFonts w:ascii="方正小标宋简体" w:hAnsi="Calibri" w:eastAsia="方正小标宋简体" w:cs="宋体"/>
          <w:color w:val="333333"/>
          <w:sz w:val="40"/>
          <w:szCs w:val="40"/>
        </w:rPr>
      </w:pPr>
      <w:r>
        <w:rPr>
          <w:rFonts w:hint="eastAsia" w:ascii="方正小标宋简体" w:hAnsi="Calibri" w:eastAsia="方正小标宋简体" w:cs="宋体"/>
          <w:color w:val="333333"/>
          <w:sz w:val="40"/>
          <w:szCs w:val="40"/>
        </w:rPr>
        <w:t>第二部分    鄂州市公立医院管理中心2020年部门决算安排情况说明</w:t>
      </w:r>
    </w:p>
    <w:p>
      <w:pPr>
        <w:ind w:firstLine="640" w:firstLineChars="200"/>
        <w:rPr>
          <w:rFonts w:ascii="黑体" w:hAnsi="黑体" w:eastAsia="黑体" w:cs="黑体"/>
          <w:sz w:val="32"/>
          <w:szCs w:val="32"/>
        </w:rPr>
      </w:pPr>
      <w:r>
        <w:rPr>
          <w:rFonts w:hint="eastAsia" w:ascii="黑体" w:hAnsi="黑体" w:eastAsia="黑体" w:cs="黑体"/>
          <w:sz w:val="32"/>
          <w:szCs w:val="32"/>
        </w:rPr>
        <w:t>一、部门决算收支情况说明</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（一）2020年部门决算总收入154.64万元。其中：一般公共预算财政拨款收71.11万元，占收入的45.98%。其他收入0万元，占收入的0。上年结转83.53万元，占收入的54.02%。</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（二）2020年部门决算总支出113.99万元。其中：基本支出110.82万元，占支出的97.22%。项目支出3.17万元，占支出的2.78%。</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按照支出功能分类科目，本部门主要用于</w:t>
      </w:r>
      <w:r>
        <w:rPr>
          <w:rFonts w:ascii="仿宋" w:hAnsi="仿宋" w:eastAsia="仿宋" w:cs="宋体"/>
          <w:color w:val="333333"/>
          <w:sz w:val="30"/>
          <w:szCs w:val="30"/>
        </w:rPr>
        <w:t>：</w:t>
      </w:r>
      <w:r>
        <w:rPr>
          <w:rFonts w:hint="eastAsia" w:ascii="仿宋" w:hAnsi="仿宋" w:eastAsia="仿宋" w:cs="宋体"/>
          <w:color w:val="333333"/>
          <w:sz w:val="30"/>
          <w:szCs w:val="30"/>
        </w:rPr>
        <w:t>卫生健康管理事务（行政运行）60.71万元、卫生健康管理事务（一般行政管理事务）0.46万元、卫生健康管理事务（其他卫生健康管理事务支出）10.70万元、其他公立医院支出35.34万元、机关事业单位基本养老保险缴费支出3.61万元、事业单位医疗1.92万元、住房保障支出（住房公积金）1.25万元；</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 xml:space="preserve">按照支出经济分类科目，主要用于： </w:t>
      </w:r>
      <w:r>
        <w:rPr>
          <w:rFonts w:ascii="仿宋" w:hAnsi="仿宋" w:eastAsia="仿宋" w:cs="宋体"/>
          <w:color w:val="333333"/>
          <w:sz w:val="30"/>
          <w:szCs w:val="30"/>
        </w:rPr>
        <w:t>工资福利支出</w:t>
      </w:r>
      <w:r>
        <w:rPr>
          <w:rFonts w:hint="eastAsia" w:ascii="仿宋" w:hAnsi="仿宋" w:eastAsia="仿宋" w:cs="宋体"/>
          <w:color w:val="333333"/>
          <w:sz w:val="30"/>
          <w:szCs w:val="30"/>
        </w:rPr>
        <w:t>82.21</w:t>
      </w:r>
      <w:r>
        <w:rPr>
          <w:rFonts w:ascii="仿宋" w:hAnsi="仿宋" w:eastAsia="仿宋" w:cs="宋体"/>
          <w:color w:val="333333"/>
          <w:sz w:val="30"/>
          <w:szCs w:val="30"/>
        </w:rPr>
        <w:t>万元，商品和服务支出</w:t>
      </w:r>
      <w:r>
        <w:rPr>
          <w:rFonts w:hint="eastAsia" w:ascii="仿宋" w:hAnsi="仿宋" w:eastAsia="仿宋" w:cs="宋体"/>
          <w:color w:val="333333"/>
          <w:sz w:val="30"/>
          <w:szCs w:val="30"/>
        </w:rPr>
        <w:t>28.60</w:t>
      </w:r>
      <w:r>
        <w:rPr>
          <w:rFonts w:ascii="仿宋" w:hAnsi="仿宋" w:eastAsia="仿宋" w:cs="宋体"/>
          <w:color w:val="333333"/>
          <w:sz w:val="30"/>
          <w:szCs w:val="30"/>
        </w:rPr>
        <w:t>万元，项目支出</w:t>
      </w:r>
      <w:r>
        <w:rPr>
          <w:rFonts w:hint="eastAsia" w:ascii="仿宋" w:hAnsi="仿宋" w:eastAsia="仿宋" w:cs="宋体"/>
          <w:color w:val="333333"/>
          <w:sz w:val="30"/>
          <w:szCs w:val="30"/>
        </w:rPr>
        <w:t>（</w:t>
      </w:r>
      <w:r>
        <w:rPr>
          <w:rFonts w:ascii="仿宋" w:hAnsi="仿宋" w:eastAsia="仿宋" w:cs="宋体"/>
          <w:color w:val="333333"/>
          <w:sz w:val="30"/>
          <w:szCs w:val="30"/>
        </w:rPr>
        <w:t>商品和服务支出</w:t>
      </w:r>
      <w:r>
        <w:rPr>
          <w:rFonts w:hint="eastAsia" w:ascii="仿宋" w:hAnsi="仿宋" w:eastAsia="仿宋" w:cs="宋体"/>
          <w:color w:val="333333"/>
          <w:sz w:val="30"/>
          <w:szCs w:val="30"/>
        </w:rPr>
        <w:t>）3.17</w:t>
      </w:r>
      <w:r>
        <w:rPr>
          <w:rFonts w:ascii="仿宋" w:hAnsi="仿宋" w:eastAsia="仿宋" w:cs="宋体"/>
          <w:color w:val="333333"/>
          <w:sz w:val="30"/>
          <w:szCs w:val="30"/>
        </w:rPr>
        <w:t>万元。</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部门决算收支增减变化说明</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2020年部门决算总收入154.64万元。比上年决算200.04万元（上年当年95.35万元，往年结转104.69万元）减少45.40万元，减少22.70%，主要原因是受疫情等原因影响，财政资金压缩。</w:t>
      </w:r>
    </w:p>
    <w:p>
      <w:pPr>
        <w:spacing w:line="620" w:lineRule="exact"/>
        <w:ind w:firstLine="600" w:firstLineChars="200"/>
        <w:rPr>
          <w:rFonts w:ascii="仿宋" w:hAnsi="仿宋" w:eastAsia="仿宋" w:cs="仿宋"/>
          <w:sz w:val="32"/>
          <w:szCs w:val="32"/>
        </w:rPr>
      </w:pPr>
      <w:r>
        <w:rPr>
          <w:rFonts w:hint="eastAsia" w:ascii="仿宋" w:hAnsi="仿宋" w:eastAsia="仿宋" w:cs="宋体"/>
          <w:color w:val="333333"/>
          <w:sz w:val="30"/>
          <w:szCs w:val="30"/>
        </w:rPr>
        <w:t>2020年部门决算总支出113.99万元。比上年决算116.52万元减少2.53万元，减少2.17%，主要原因是单位在维持基本运行的情况下压缩支出，厉行节约。</w:t>
      </w:r>
    </w:p>
    <w:p>
      <w:pPr>
        <w:numPr>
          <w:ilvl w:val="0"/>
          <w:numId w:val="1"/>
        </w:numPr>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财政拨款收支决算情况说明</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2020年财政拨款收入总决算154.64万元。主要包括：一般公共预算财政拨款本年收入71.11万元。上年结转83.53万元，政府性基金预算0万元。支出总决算113.99 万元。主要包括：基本支出110.82万元，其中：人员经费支出82.21万元，日常公用经费支出28.60万元；项目支出3.17万元。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四、一般公共预算支出决算情况说明</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2020年一般公共决算支出113.99万元，比上年决算116.52万元减少2.53万元，减少2.17%。具体情况如下：</w:t>
      </w:r>
    </w:p>
    <w:p>
      <w:pPr>
        <w:spacing w:line="620" w:lineRule="exact"/>
        <w:ind w:firstLine="600" w:firstLineChars="200"/>
        <w:rPr>
          <w:rFonts w:hint="eastAsia" w:ascii="仿宋" w:hAnsi="仿宋" w:eastAsia="仿宋" w:cs="宋体"/>
          <w:color w:val="333333"/>
          <w:sz w:val="30"/>
          <w:szCs w:val="30"/>
        </w:rPr>
      </w:pPr>
      <w:r>
        <w:rPr>
          <w:rFonts w:hint="eastAsia" w:ascii="仿宋" w:hAnsi="仿宋" w:eastAsia="仿宋" w:cs="宋体"/>
          <w:color w:val="333333"/>
          <w:sz w:val="30"/>
          <w:szCs w:val="30"/>
        </w:rPr>
        <w:t>1、卫生健康支出（类）管理事务（款）行政运行（项）2020年支出决算数为60.70万元，主要用于：工资福利、奖励工资发放，日常公用支出及党报党刊订阅等。</w:t>
      </w:r>
    </w:p>
    <w:p>
      <w:pPr>
        <w:spacing w:line="620" w:lineRule="exact"/>
        <w:ind w:firstLine="600" w:firstLineChars="200"/>
        <w:rPr>
          <w:rFonts w:hint="eastAsia" w:ascii="仿宋" w:hAnsi="仿宋" w:eastAsia="仿宋" w:cs="宋体"/>
          <w:color w:val="333333"/>
          <w:sz w:val="30"/>
          <w:szCs w:val="30"/>
        </w:rPr>
      </w:pPr>
      <w:r>
        <w:rPr>
          <w:rFonts w:hint="eastAsia" w:ascii="仿宋" w:hAnsi="仿宋" w:eastAsia="仿宋" w:cs="宋体"/>
          <w:color w:val="333333"/>
          <w:sz w:val="30"/>
          <w:szCs w:val="30"/>
        </w:rPr>
        <w:t>2、卫生健康支出（类）管理事务（款）一般行政管理事务（项）2020年支出决算数为0.46万元，主要用于单位干部学习费用。</w:t>
      </w:r>
    </w:p>
    <w:p>
      <w:pPr>
        <w:spacing w:line="620" w:lineRule="exact"/>
        <w:ind w:firstLine="600" w:firstLineChars="200"/>
        <w:rPr>
          <w:rFonts w:hint="eastAsia" w:ascii="仿宋" w:hAnsi="仿宋" w:eastAsia="仿宋" w:cs="宋体"/>
          <w:color w:val="333333"/>
          <w:sz w:val="30"/>
          <w:szCs w:val="30"/>
        </w:rPr>
      </w:pPr>
      <w:r>
        <w:rPr>
          <w:rFonts w:hint="eastAsia" w:ascii="仿宋" w:hAnsi="仿宋" w:eastAsia="仿宋" w:cs="宋体"/>
          <w:color w:val="333333"/>
          <w:sz w:val="30"/>
          <w:szCs w:val="30"/>
        </w:rPr>
        <w:t>3、卫生健康支出（类）管理事务（款）其他卫生健康管理事务支出（项）2020年支出决算数为10.70万元，主要用于：单位日常公用支出。</w:t>
      </w:r>
    </w:p>
    <w:p>
      <w:pPr>
        <w:spacing w:line="620" w:lineRule="exact"/>
        <w:ind w:firstLine="600" w:firstLineChars="200"/>
        <w:rPr>
          <w:rFonts w:hint="eastAsia" w:ascii="仿宋" w:hAnsi="仿宋" w:eastAsia="仿宋" w:cs="宋体"/>
          <w:color w:val="333333"/>
          <w:sz w:val="30"/>
          <w:szCs w:val="30"/>
        </w:rPr>
      </w:pPr>
      <w:r>
        <w:rPr>
          <w:rFonts w:hint="eastAsia" w:ascii="仿宋" w:hAnsi="仿宋" w:eastAsia="仿宋" w:cs="宋体"/>
          <w:color w:val="333333"/>
          <w:sz w:val="30"/>
          <w:szCs w:val="30"/>
        </w:rPr>
        <w:t>4、卫生健康支出（类）公立医院（款）其他公立医院支出（项）2020年支出决算数为35.34万元，主要用于：人员经费支出和日常公用支出。</w:t>
      </w:r>
    </w:p>
    <w:p>
      <w:pPr>
        <w:spacing w:line="620" w:lineRule="exact"/>
        <w:ind w:firstLine="600" w:firstLineChars="200"/>
        <w:rPr>
          <w:rFonts w:hint="eastAsia" w:ascii="仿宋" w:hAnsi="仿宋" w:eastAsia="仿宋" w:cs="宋体"/>
          <w:color w:val="333333"/>
          <w:sz w:val="30"/>
          <w:szCs w:val="30"/>
        </w:rPr>
      </w:pPr>
      <w:r>
        <w:rPr>
          <w:rFonts w:hint="eastAsia" w:ascii="仿宋" w:hAnsi="仿宋" w:eastAsia="仿宋" w:cs="宋体"/>
          <w:color w:val="333333"/>
          <w:sz w:val="30"/>
          <w:szCs w:val="30"/>
        </w:rPr>
        <w:t>5、社会保障和就业支出（类）行政事业单位养老支出（款）机关事业单位基本养老保险缴费支出（项），2020年一般公共预算支出决算数为3.61万元，主要用于：单位基本养老保险缴费支出。</w:t>
      </w:r>
    </w:p>
    <w:p>
      <w:pPr>
        <w:spacing w:line="620" w:lineRule="exact"/>
        <w:ind w:firstLine="600" w:firstLineChars="200"/>
        <w:rPr>
          <w:rFonts w:hint="eastAsia" w:ascii="仿宋" w:hAnsi="仿宋" w:eastAsia="仿宋" w:cs="宋体"/>
          <w:color w:val="333333"/>
          <w:sz w:val="30"/>
          <w:szCs w:val="30"/>
        </w:rPr>
      </w:pPr>
      <w:r>
        <w:rPr>
          <w:rFonts w:hint="eastAsia" w:ascii="仿宋" w:hAnsi="仿宋" w:eastAsia="仿宋" w:cs="宋体"/>
          <w:color w:val="333333"/>
          <w:sz w:val="30"/>
          <w:szCs w:val="30"/>
        </w:rPr>
        <w:t>6、卫生健康支出（类）行政事业单位医疗（款）事业单位医疗（项），2020年一般公共预算支出决算数为1.92万元，主要用于：单位在职在编人员社保缴费支出。</w:t>
      </w:r>
    </w:p>
    <w:p>
      <w:pPr>
        <w:spacing w:line="620" w:lineRule="exact"/>
        <w:ind w:firstLine="600" w:firstLineChars="200"/>
        <w:rPr>
          <w:rFonts w:hint="eastAsia" w:ascii="仿宋" w:hAnsi="仿宋" w:eastAsia="仿宋" w:cs="宋体"/>
          <w:color w:val="333333"/>
          <w:sz w:val="30"/>
          <w:szCs w:val="30"/>
        </w:rPr>
      </w:pPr>
      <w:r>
        <w:rPr>
          <w:rFonts w:hint="eastAsia" w:ascii="仿宋" w:hAnsi="仿宋" w:eastAsia="仿宋" w:cs="宋体"/>
          <w:color w:val="333333"/>
          <w:sz w:val="30"/>
          <w:szCs w:val="30"/>
        </w:rPr>
        <w:t>7、住房保障支出（类）住房改革支出（款）住房公积金（项），2020年一般公共预算支出决算数为1.25万元，主要用于单位在职在编人员住房公积金缴纳支出。</w:t>
      </w:r>
    </w:p>
    <w:p>
      <w:pPr>
        <w:spacing w:line="62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五、一般公共预算基本支出决算情况说明</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2020年一般公共预算基本支出决算110.82 万元，占决算总额的97.22%。其中：</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(一)人员经费82.21万元。包括：</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工资福利支出82.21万元，主要用于：在职人员基本工资</w:t>
      </w:r>
      <w:r>
        <w:rPr>
          <w:rFonts w:ascii="仿宋" w:hAnsi="仿宋" w:eastAsia="仿宋" w:cs="宋体"/>
          <w:color w:val="333333"/>
          <w:sz w:val="30"/>
          <w:szCs w:val="30"/>
        </w:rPr>
        <w:t>15.84</w:t>
      </w:r>
      <w:r>
        <w:rPr>
          <w:rFonts w:hint="eastAsia" w:ascii="仿宋" w:hAnsi="仿宋" w:eastAsia="仿宋" w:cs="宋体"/>
          <w:color w:val="333333"/>
          <w:sz w:val="30"/>
          <w:szCs w:val="30"/>
        </w:rPr>
        <w:t>万元、津贴补贴</w:t>
      </w:r>
      <w:r>
        <w:rPr>
          <w:rFonts w:ascii="仿宋" w:hAnsi="仿宋" w:eastAsia="仿宋" w:cs="宋体"/>
          <w:color w:val="333333"/>
          <w:sz w:val="30"/>
          <w:szCs w:val="30"/>
        </w:rPr>
        <w:t>13.73</w:t>
      </w:r>
      <w:r>
        <w:rPr>
          <w:rFonts w:hint="eastAsia" w:ascii="仿宋" w:hAnsi="仿宋" w:eastAsia="仿宋" w:cs="宋体"/>
          <w:color w:val="333333"/>
          <w:sz w:val="30"/>
          <w:szCs w:val="30"/>
        </w:rPr>
        <w:t>万元、奖金</w:t>
      </w:r>
      <w:r>
        <w:rPr>
          <w:rFonts w:ascii="仿宋" w:hAnsi="仿宋" w:eastAsia="仿宋" w:cs="宋体"/>
          <w:color w:val="333333"/>
          <w:sz w:val="30"/>
          <w:szCs w:val="30"/>
        </w:rPr>
        <w:t>16.94</w:t>
      </w:r>
      <w:r>
        <w:rPr>
          <w:rFonts w:hint="eastAsia" w:ascii="仿宋" w:hAnsi="仿宋" w:eastAsia="仿宋" w:cs="宋体"/>
          <w:color w:val="333333"/>
          <w:sz w:val="30"/>
          <w:szCs w:val="30"/>
        </w:rPr>
        <w:t>万元、伙食补助2.40万元、机关事业单位基本养老保险缴费13.37万元、职业年金缴费2.58万元、职工基本医疗保险缴费3.74万元、公务员医疗补助缴费1.94万元、其他社会保障缴费0.38万元、住房公积金5.62万元、医疗费0.07万元、其他工资福利支出5.62万元。</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二）公用经费28.60万元。主要用于：办公费0.96万元、印刷费1.63万元、差旅费0.35万元、培训费0.46万元、委托业务费21.53万元、工会经费0.98万元、福利费1.42万元、公车运行0.82万元、其他商品和服务支出0.45万元等。</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六、机关运行经费执行情况说明</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2020年机关运行经费决算28.60万元，占决算总额的  25.09%。其中：办公费0.96万元、印刷费1.63万元、差旅费0.35万元、培训费0.46万元、委托业务费21.53万元、工会经费0.98万元、福利费1.42万元、公车运行0.82万元、其他商品和服务支出0.45万元等。</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七、国有资产占用情况说明</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国有资产占有情况说明为：2020年本单位年末固定资产原值总额共计27.18万元，其中：车辆1辆总价值 26.96万元，通用设备总价值 0.22万元。无形资产原值0.38万元，其中 ：软件1套0.38万元。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八、预算绩效（含重点项目预算的绩效评价结果）情况说明</w:t>
      </w:r>
    </w:p>
    <w:p>
      <w:pPr>
        <w:spacing w:line="620" w:lineRule="exact"/>
        <w:ind w:firstLine="450" w:firstLineChars="150"/>
        <w:rPr>
          <w:rFonts w:ascii="仿宋" w:hAnsi="仿宋" w:eastAsia="仿宋" w:cs="宋体"/>
          <w:color w:val="333333"/>
          <w:sz w:val="30"/>
          <w:szCs w:val="30"/>
        </w:rPr>
      </w:pPr>
      <w:r>
        <w:rPr>
          <w:rFonts w:hint="eastAsia" w:ascii="仿宋" w:hAnsi="仿宋" w:eastAsia="仿宋" w:cs="宋体"/>
          <w:color w:val="333333"/>
          <w:sz w:val="30"/>
          <w:szCs w:val="30"/>
        </w:rPr>
        <w:t>本单位2020年无。</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九、政府采购执行情况说明</w:t>
      </w:r>
    </w:p>
    <w:p>
      <w:pPr>
        <w:spacing w:line="620" w:lineRule="exact"/>
        <w:ind w:firstLine="600" w:firstLineChars="200"/>
        <w:rPr>
          <w:rFonts w:hint="eastAsia" w:ascii="仿宋" w:hAnsi="仿宋" w:eastAsia="仿宋" w:cs="宋体"/>
          <w:color w:val="333333"/>
          <w:sz w:val="30"/>
          <w:szCs w:val="30"/>
        </w:rPr>
      </w:pPr>
      <w:r>
        <w:rPr>
          <w:rFonts w:hint="eastAsia" w:ascii="仿宋" w:hAnsi="仿宋" w:eastAsia="仿宋" w:cs="宋体"/>
          <w:color w:val="333333"/>
          <w:sz w:val="30"/>
          <w:szCs w:val="30"/>
        </w:rPr>
        <w:t>本部门2020年度政府采购支出总额</w:t>
      </w:r>
      <w:r>
        <w:rPr>
          <w:rFonts w:hint="eastAsia" w:ascii="仿宋" w:hAnsi="仿宋" w:eastAsia="仿宋" w:cs="宋体"/>
          <w:color w:val="333333"/>
          <w:sz w:val="30"/>
          <w:szCs w:val="30"/>
          <w:lang w:val="en-US" w:eastAsia="zh-CN"/>
        </w:rPr>
        <w:t>5.58</w:t>
      </w:r>
      <w:r>
        <w:rPr>
          <w:rFonts w:hint="eastAsia" w:ascii="仿宋" w:hAnsi="仿宋" w:eastAsia="仿宋" w:cs="宋体"/>
          <w:color w:val="333333"/>
          <w:sz w:val="30"/>
          <w:szCs w:val="30"/>
        </w:rPr>
        <w:t>万元，其中：政府采购货物支出</w:t>
      </w:r>
      <w:r>
        <w:rPr>
          <w:rFonts w:hint="eastAsia" w:ascii="仿宋" w:hAnsi="仿宋" w:eastAsia="仿宋" w:cs="宋体"/>
          <w:color w:val="333333"/>
          <w:sz w:val="30"/>
          <w:szCs w:val="30"/>
          <w:lang w:val="en-US" w:eastAsia="zh-CN"/>
        </w:rPr>
        <w:t>0</w:t>
      </w:r>
      <w:r>
        <w:rPr>
          <w:rFonts w:hint="eastAsia" w:ascii="仿宋" w:hAnsi="仿宋" w:eastAsia="仿宋" w:cs="宋体"/>
          <w:color w:val="333333"/>
          <w:sz w:val="30"/>
          <w:szCs w:val="30"/>
        </w:rPr>
        <w:t>万元,政府采购设备</w:t>
      </w:r>
      <w:r>
        <w:rPr>
          <w:rFonts w:hint="eastAsia" w:ascii="仿宋" w:hAnsi="仿宋" w:eastAsia="仿宋" w:cs="宋体"/>
          <w:color w:val="333333"/>
          <w:sz w:val="30"/>
          <w:szCs w:val="30"/>
          <w:lang w:val="en-US" w:eastAsia="zh-CN"/>
        </w:rPr>
        <w:t>0</w:t>
      </w:r>
      <w:r>
        <w:rPr>
          <w:rFonts w:hint="eastAsia" w:ascii="仿宋" w:hAnsi="仿宋" w:eastAsia="仿宋" w:cs="宋体"/>
          <w:color w:val="333333"/>
          <w:sz w:val="30"/>
          <w:szCs w:val="30"/>
        </w:rPr>
        <w:t>万元，占政府采购支出总额的</w:t>
      </w:r>
      <w:r>
        <w:rPr>
          <w:rFonts w:hint="eastAsia" w:ascii="仿宋" w:hAnsi="仿宋" w:eastAsia="仿宋" w:cs="宋体"/>
          <w:color w:val="333333"/>
          <w:sz w:val="30"/>
          <w:szCs w:val="30"/>
          <w:lang w:val="en-US" w:eastAsia="zh-CN"/>
        </w:rPr>
        <w:t>0</w:t>
      </w:r>
      <w:r>
        <w:rPr>
          <w:rFonts w:hint="eastAsia" w:ascii="仿宋" w:hAnsi="仿宋" w:eastAsia="仿宋" w:cs="宋体"/>
          <w:color w:val="333333"/>
          <w:sz w:val="30"/>
          <w:szCs w:val="30"/>
        </w:rPr>
        <w:t>%。授予中小企业合同金额</w:t>
      </w:r>
      <w:r>
        <w:rPr>
          <w:rFonts w:hint="eastAsia" w:ascii="仿宋" w:hAnsi="仿宋" w:eastAsia="仿宋" w:cs="宋体"/>
          <w:color w:val="333333"/>
          <w:sz w:val="30"/>
          <w:szCs w:val="30"/>
          <w:lang w:val="en-US" w:eastAsia="zh-CN"/>
        </w:rPr>
        <w:t>5.58</w:t>
      </w:r>
      <w:r>
        <w:rPr>
          <w:rFonts w:hint="eastAsia" w:ascii="仿宋" w:hAnsi="仿宋" w:eastAsia="仿宋" w:cs="宋体"/>
          <w:color w:val="333333"/>
          <w:sz w:val="30"/>
          <w:szCs w:val="30"/>
        </w:rPr>
        <w:t>万元，占政府采购支出总额的</w:t>
      </w:r>
      <w:r>
        <w:rPr>
          <w:rFonts w:hint="eastAsia" w:ascii="仿宋" w:hAnsi="仿宋" w:eastAsia="仿宋" w:cs="宋体"/>
          <w:color w:val="333333"/>
          <w:sz w:val="30"/>
          <w:szCs w:val="30"/>
          <w:lang w:val="en-US" w:eastAsia="zh-CN"/>
        </w:rPr>
        <w:t>100</w:t>
      </w:r>
      <w:r>
        <w:rPr>
          <w:rFonts w:hint="eastAsia" w:ascii="仿宋" w:hAnsi="仿宋" w:eastAsia="仿宋" w:cs="宋体"/>
          <w:color w:val="333333"/>
          <w:sz w:val="30"/>
          <w:szCs w:val="30"/>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十、一般公共预算“三公”经费支出决算情况说明</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2020年“三公”经费支出决算0.82万元，比上年0万元增加0.82万元。其中：</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（一）因公出国（境）费决算0万元，比上年决算增加0万元。</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（二）公务接待费决算0.00万元，比上年0.00万元增加0.00万元。</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（三）公务用车购置及运行维护费0.82万元，比上年增加0.82万元。其中：</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1.公务用车购置费0万元，比上年增加0万元。</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2.公务用车运行维护费0.82万元，比上年增加0.82万元，主要原因：去年没车，今年因工作实际需要，上级部门划拨了一台车给本单位使用。</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十一、政府性基金预算支出决算情况说明</w:t>
      </w:r>
    </w:p>
    <w:p>
      <w:pPr>
        <w:spacing w:line="62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单位无政府性基金支出。</w:t>
      </w:r>
    </w:p>
    <w:p>
      <w:pPr>
        <w:shd w:val="clear" w:color="auto" w:fill="FFFFFF"/>
        <w:spacing w:line="620" w:lineRule="atLeast"/>
        <w:ind w:firstLine="560"/>
        <w:jc w:val="center"/>
        <w:rPr>
          <w:rFonts w:ascii="Calibri" w:hAnsi="Calibri" w:eastAsia="宋体" w:cs="宋体"/>
          <w:color w:val="333333"/>
          <w:szCs w:val="21"/>
        </w:rPr>
      </w:pPr>
      <w:r>
        <w:rPr>
          <w:rFonts w:hint="eastAsia" w:ascii="方正小标宋简体" w:hAnsi="Calibri" w:eastAsia="方正小标宋简体" w:cs="宋体"/>
          <w:color w:val="333333"/>
          <w:sz w:val="40"/>
          <w:szCs w:val="40"/>
        </w:rPr>
        <w:t>第</w:t>
      </w:r>
      <w:r>
        <w:rPr>
          <w:rFonts w:hint="eastAsia" w:ascii="宋体" w:hAnsi="宋体" w:eastAsia="宋体" w:cs="宋体"/>
          <w:color w:val="333333"/>
          <w:sz w:val="40"/>
          <w:szCs w:val="40"/>
        </w:rPr>
        <w:t>三</w:t>
      </w:r>
      <w:r>
        <w:rPr>
          <w:rFonts w:hint="eastAsia" w:ascii="___WRD_EMBED_SUB_39" w:hAnsi="___WRD_EMBED_SUB_39" w:eastAsia="___WRD_EMBED_SUB_39" w:cs="___WRD_EMBED_SUB_39"/>
          <w:color w:val="333333"/>
          <w:sz w:val="40"/>
          <w:szCs w:val="40"/>
        </w:rPr>
        <w:t>部分</w:t>
      </w:r>
      <w:r>
        <w:rPr>
          <w:rFonts w:hint="eastAsia" w:ascii="方正小标宋简体" w:hAnsi="Calibri" w:eastAsia="方正小标宋简体" w:cs="宋体"/>
          <w:color w:val="333333"/>
          <w:sz w:val="40"/>
          <w:szCs w:val="40"/>
        </w:rPr>
        <w:t>  </w:t>
      </w:r>
      <w:r>
        <w:rPr>
          <w:rFonts w:hint="eastAsia" w:ascii="宋体" w:hAnsi="宋体" w:eastAsia="宋体" w:cs="宋体"/>
          <w:color w:val="333333"/>
          <w:sz w:val="40"/>
          <w:szCs w:val="40"/>
        </w:rPr>
        <w:t>专业名词解释</w:t>
      </w:r>
    </w:p>
    <w:p>
      <w:pPr>
        <w:spacing w:line="620" w:lineRule="exact"/>
        <w:ind w:firstLine="450" w:firstLineChars="150"/>
        <w:rPr>
          <w:rFonts w:hint="eastAsia" w:ascii="仿宋" w:hAnsi="仿宋" w:eastAsia="仿宋" w:cs="宋体"/>
          <w:color w:val="333333"/>
          <w:sz w:val="30"/>
          <w:szCs w:val="30"/>
          <w:lang w:eastAsia="zh-CN"/>
        </w:rPr>
      </w:pPr>
      <w:r>
        <w:rPr>
          <w:rFonts w:hint="eastAsia" w:ascii="仿宋" w:hAnsi="仿宋" w:eastAsia="仿宋" w:cs="宋体"/>
          <w:color w:val="333333"/>
          <w:sz w:val="30"/>
          <w:szCs w:val="30"/>
        </w:rPr>
        <w:t>一、财政拨款收入：指财政当年拨付的一般公共预算资金，包括基本拨款收入和项目拨款收入。</w:t>
      </w:r>
    </w:p>
    <w:p>
      <w:pPr>
        <w:spacing w:line="620" w:lineRule="exact"/>
        <w:ind w:firstLine="450" w:firstLineChars="150"/>
        <w:rPr>
          <w:rFonts w:hint="eastAsia" w:ascii="仿宋" w:hAnsi="仿宋" w:eastAsia="仿宋" w:cs="宋体"/>
          <w:color w:val="333333"/>
          <w:sz w:val="30"/>
          <w:szCs w:val="30"/>
          <w:lang w:eastAsia="zh-CN"/>
        </w:rPr>
      </w:pPr>
      <w:r>
        <w:rPr>
          <w:rFonts w:hint="eastAsia" w:ascii="仿宋" w:hAnsi="仿宋" w:eastAsia="仿宋" w:cs="宋体"/>
          <w:color w:val="333333"/>
          <w:sz w:val="30"/>
          <w:szCs w:val="30"/>
        </w:rPr>
        <w:t>　　二、基本支出：指为保障机构正常运转、完成日常工作任务而发生的人员支出和公用支出。</w:t>
      </w:r>
    </w:p>
    <w:p>
      <w:pPr>
        <w:spacing w:line="620" w:lineRule="exact"/>
        <w:ind w:firstLine="450" w:firstLineChars="150"/>
        <w:rPr>
          <w:rFonts w:ascii="Calibri" w:hAnsi="Calibri" w:eastAsia="宋体" w:cs="宋体"/>
          <w:color w:val="333333"/>
          <w:szCs w:val="21"/>
        </w:rPr>
      </w:pPr>
      <w:r>
        <w:rPr>
          <w:rFonts w:hint="eastAsia" w:ascii="仿宋" w:hAnsi="仿宋" w:eastAsia="仿宋" w:cs="宋体"/>
          <w:color w:val="333333"/>
          <w:sz w:val="30"/>
          <w:szCs w:val="30"/>
        </w:rPr>
        <w:t>　　三、项目支出：指在基本支出之外为完成特定行政任务和事业发展目标所发生的支出。</w:t>
      </w:r>
    </w:p>
    <w:p>
      <w:pPr>
        <w:shd w:val="clear" w:color="auto" w:fill="FFFFFF"/>
        <w:spacing w:line="620" w:lineRule="atLeast"/>
        <w:ind w:firstLine="600"/>
        <w:rPr>
          <w:rFonts w:ascii="Calibri" w:hAnsi="Calibri" w:eastAsia="宋体" w:cs="宋体"/>
          <w:color w:val="333333"/>
          <w:szCs w:val="21"/>
        </w:rPr>
      </w:pPr>
      <w:r>
        <w:rPr>
          <w:rFonts w:hint="eastAsia" w:ascii="仿宋" w:hAnsi="仿宋" w:eastAsia="仿宋" w:cs="宋体"/>
          <w:color w:val="333333"/>
          <w:sz w:val="30"/>
          <w:szCs w:val="30"/>
        </w:rPr>
        <w:t>四、机关运行经费：即一般公共预算财政拨款基本支出中的公用经费，是指为保障单位运行用于购买货物和服务的各项资金，包括办公及印刷费、邮电费、差旅费、会议费、福利费、日常维修费、专用材料及一般设备购置费、办公用房水电费、办公用房物业管理费、公务用车运行维护费以及其他费用。</w:t>
      </w:r>
    </w:p>
    <w:p>
      <w:pPr>
        <w:shd w:val="clear" w:color="auto" w:fill="FFFFFF"/>
        <w:spacing w:line="620" w:lineRule="atLeast"/>
        <w:ind w:firstLine="600"/>
        <w:rPr>
          <w:rFonts w:ascii="Calibri" w:hAnsi="Calibri" w:eastAsia="宋体" w:cs="宋体"/>
          <w:color w:val="333333"/>
          <w:szCs w:val="21"/>
        </w:rPr>
      </w:pPr>
      <w:r>
        <w:rPr>
          <w:rFonts w:hint="eastAsia" w:ascii="仿宋" w:hAnsi="仿宋" w:eastAsia="仿宋" w:cs="宋体"/>
          <w:color w:val="333333"/>
          <w:sz w:val="30"/>
          <w:szCs w:val="30"/>
        </w:rPr>
        <w:t>五、“三公”经费：是指国家行政事业单位和社会团体，进行因公出国(境)、公务车辆购置及运行和公务招待活动，而使用的财政拨款资金。“三公”经费是保证国家机器正常运转所必需的行政性成本支出。</w:t>
      </w:r>
    </w:p>
    <w:p>
      <w:pPr>
        <w:rPr>
          <w:rFonts w:ascii="方正小标宋简体" w:hAnsi="方正小标宋简体" w:eastAsia="方正小标宋简体" w:cs="方正小标宋简体"/>
          <w:sz w:val="24"/>
        </w:rPr>
      </w:pPr>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p>
    <w:p>
      <w:pPr>
        <w:spacing w:line="62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DFAD23-7686-4D96-8FC1-662B84DF457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DBD406F-3FED-4F57-95A3-4051DB32A480}"/>
  </w:font>
  <w:font w:name="仿宋">
    <w:panose1 w:val="02010609060101010101"/>
    <w:charset w:val="86"/>
    <w:family w:val="modern"/>
    <w:pitch w:val="default"/>
    <w:sig w:usb0="800002BF" w:usb1="38CF7CFA" w:usb2="00000016" w:usb3="00000000" w:csb0="00040001" w:csb1="00000000"/>
    <w:embedRegular r:id="rId3" w:fontKey="{DFECEFFE-4E2F-4E8F-A4FD-96630804CCA2}"/>
  </w:font>
  <w:font w:name="方正小标宋简体">
    <w:panose1 w:val="03000509000000000000"/>
    <w:charset w:val="86"/>
    <w:family w:val="auto"/>
    <w:pitch w:val="default"/>
    <w:sig w:usb0="00000001" w:usb1="080E0000" w:usb2="00000000" w:usb3="00000000" w:csb0="00040000" w:csb1="00000000"/>
    <w:embedRegular r:id="rId4" w:fontKey="{D94F95C5-608B-40D5-B328-3CECE12C97D0}"/>
  </w:font>
  <w:font w:name="___WRD_EMBED_SUB_39">
    <w:panose1 w:val="02000000000000000000"/>
    <w:charset w:val="86"/>
    <w:family w:val="auto"/>
    <w:pitch w:val="default"/>
    <w:sig w:usb0="00000001" w:usb1="08000000" w:usb2="00000000" w:usb3="00000000" w:csb0="00040000" w:csb1="00000000"/>
    <w:embedRegular r:id="rId5" w:fontKey="{9041BDD4-9C80-4DCE-AA39-5D551FE219EE}"/>
  </w:font>
  <w:font w:name="仿宋_GB2312">
    <w:panose1 w:val="02010609030101010101"/>
    <w:charset w:val="86"/>
    <w:family w:val="modern"/>
    <w:pitch w:val="default"/>
    <w:sig w:usb0="00000001" w:usb1="080E0000" w:usb2="00000000" w:usb3="00000000" w:csb0="00040000" w:csb1="00000000"/>
    <w:embedRegular r:id="rId6" w:fontKey="{9105F109-8341-46F4-AB5A-6994B5C53F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957E1"/>
    <w:multiLevelType w:val="singleLevel"/>
    <w:tmpl w:val="045957E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74C5359"/>
    <w:rsid w:val="00023297"/>
    <w:rsid w:val="000906FC"/>
    <w:rsid w:val="00094B7A"/>
    <w:rsid w:val="00096F94"/>
    <w:rsid w:val="000D6A2F"/>
    <w:rsid w:val="001011D0"/>
    <w:rsid w:val="00132321"/>
    <w:rsid w:val="0013400D"/>
    <w:rsid w:val="001410EC"/>
    <w:rsid w:val="00152197"/>
    <w:rsid w:val="00157F12"/>
    <w:rsid w:val="001C67C1"/>
    <w:rsid w:val="001F40F0"/>
    <w:rsid w:val="00200398"/>
    <w:rsid w:val="00232B4B"/>
    <w:rsid w:val="002679FB"/>
    <w:rsid w:val="00375C34"/>
    <w:rsid w:val="003B6E5F"/>
    <w:rsid w:val="003C5F34"/>
    <w:rsid w:val="003C714B"/>
    <w:rsid w:val="003F5C57"/>
    <w:rsid w:val="00402D78"/>
    <w:rsid w:val="00410428"/>
    <w:rsid w:val="004E4406"/>
    <w:rsid w:val="005B346B"/>
    <w:rsid w:val="005B4176"/>
    <w:rsid w:val="005F1FCE"/>
    <w:rsid w:val="005F7CE6"/>
    <w:rsid w:val="006D17AE"/>
    <w:rsid w:val="00734601"/>
    <w:rsid w:val="00743796"/>
    <w:rsid w:val="007476CF"/>
    <w:rsid w:val="0079052C"/>
    <w:rsid w:val="007C4DFC"/>
    <w:rsid w:val="007F4C36"/>
    <w:rsid w:val="00847BF0"/>
    <w:rsid w:val="00853D94"/>
    <w:rsid w:val="00867B9D"/>
    <w:rsid w:val="008A30D1"/>
    <w:rsid w:val="008C0B15"/>
    <w:rsid w:val="008F7B8F"/>
    <w:rsid w:val="00960525"/>
    <w:rsid w:val="00994012"/>
    <w:rsid w:val="009F0AA9"/>
    <w:rsid w:val="00A02565"/>
    <w:rsid w:val="00A273E5"/>
    <w:rsid w:val="00AD75A9"/>
    <w:rsid w:val="00AF3E12"/>
    <w:rsid w:val="00B405D3"/>
    <w:rsid w:val="00BA59CE"/>
    <w:rsid w:val="00BC3A77"/>
    <w:rsid w:val="00BC5EDD"/>
    <w:rsid w:val="00C07E7C"/>
    <w:rsid w:val="00C24C6F"/>
    <w:rsid w:val="00CB353E"/>
    <w:rsid w:val="00CE4BBB"/>
    <w:rsid w:val="00D57051"/>
    <w:rsid w:val="00DB3C70"/>
    <w:rsid w:val="00DB6012"/>
    <w:rsid w:val="00DE53D1"/>
    <w:rsid w:val="00E17AE7"/>
    <w:rsid w:val="00F12079"/>
    <w:rsid w:val="00F72523"/>
    <w:rsid w:val="00FB35F8"/>
    <w:rsid w:val="00FB6433"/>
    <w:rsid w:val="00FD4B8E"/>
    <w:rsid w:val="00FE58A7"/>
    <w:rsid w:val="00FF3C94"/>
    <w:rsid w:val="01115B00"/>
    <w:rsid w:val="012D1D20"/>
    <w:rsid w:val="01F61F2D"/>
    <w:rsid w:val="031607F6"/>
    <w:rsid w:val="033111AE"/>
    <w:rsid w:val="0332591B"/>
    <w:rsid w:val="03544657"/>
    <w:rsid w:val="03966237"/>
    <w:rsid w:val="045632AB"/>
    <w:rsid w:val="04632F95"/>
    <w:rsid w:val="046E0499"/>
    <w:rsid w:val="04A827DF"/>
    <w:rsid w:val="053B1999"/>
    <w:rsid w:val="05640D49"/>
    <w:rsid w:val="05926A49"/>
    <w:rsid w:val="059C364E"/>
    <w:rsid w:val="05D001C6"/>
    <w:rsid w:val="060979BE"/>
    <w:rsid w:val="073D5C15"/>
    <w:rsid w:val="07A93794"/>
    <w:rsid w:val="082E26A3"/>
    <w:rsid w:val="08776944"/>
    <w:rsid w:val="08A42ADB"/>
    <w:rsid w:val="08B3525E"/>
    <w:rsid w:val="08D6320C"/>
    <w:rsid w:val="09380602"/>
    <w:rsid w:val="0955253F"/>
    <w:rsid w:val="09BD2D1C"/>
    <w:rsid w:val="0A5337E2"/>
    <w:rsid w:val="0A8B3EC1"/>
    <w:rsid w:val="0AD2550C"/>
    <w:rsid w:val="0B234A8F"/>
    <w:rsid w:val="0B410355"/>
    <w:rsid w:val="0BC07325"/>
    <w:rsid w:val="0BED090E"/>
    <w:rsid w:val="0CCA4440"/>
    <w:rsid w:val="0D701BED"/>
    <w:rsid w:val="0DF531A3"/>
    <w:rsid w:val="0DFA7C5F"/>
    <w:rsid w:val="0E236D90"/>
    <w:rsid w:val="0E375C45"/>
    <w:rsid w:val="0E4A23D6"/>
    <w:rsid w:val="0E545FF0"/>
    <w:rsid w:val="0E8D3A6B"/>
    <w:rsid w:val="0E903604"/>
    <w:rsid w:val="0E9B0A87"/>
    <w:rsid w:val="0EB70D28"/>
    <w:rsid w:val="0EEC096F"/>
    <w:rsid w:val="0F327357"/>
    <w:rsid w:val="0F7805C3"/>
    <w:rsid w:val="0FF4013A"/>
    <w:rsid w:val="0FF604A6"/>
    <w:rsid w:val="101507B0"/>
    <w:rsid w:val="1045153D"/>
    <w:rsid w:val="10FA2F0B"/>
    <w:rsid w:val="11793BA8"/>
    <w:rsid w:val="12021184"/>
    <w:rsid w:val="122F652C"/>
    <w:rsid w:val="12452CB1"/>
    <w:rsid w:val="12511F17"/>
    <w:rsid w:val="12AE443D"/>
    <w:rsid w:val="12C66CC0"/>
    <w:rsid w:val="13334679"/>
    <w:rsid w:val="13A11FFD"/>
    <w:rsid w:val="13D17CC3"/>
    <w:rsid w:val="14356380"/>
    <w:rsid w:val="14667E4B"/>
    <w:rsid w:val="154C40F6"/>
    <w:rsid w:val="15DB7141"/>
    <w:rsid w:val="1641580F"/>
    <w:rsid w:val="16B74D15"/>
    <w:rsid w:val="175D02D5"/>
    <w:rsid w:val="17DC24A5"/>
    <w:rsid w:val="180A61B3"/>
    <w:rsid w:val="180E5E58"/>
    <w:rsid w:val="184D2065"/>
    <w:rsid w:val="18983A28"/>
    <w:rsid w:val="18AD1A61"/>
    <w:rsid w:val="19406A04"/>
    <w:rsid w:val="19E67F65"/>
    <w:rsid w:val="1AA558F2"/>
    <w:rsid w:val="1B1E0191"/>
    <w:rsid w:val="1B820D0E"/>
    <w:rsid w:val="1BCA2B86"/>
    <w:rsid w:val="1C446027"/>
    <w:rsid w:val="1CA82D78"/>
    <w:rsid w:val="1D341D7F"/>
    <w:rsid w:val="1D365266"/>
    <w:rsid w:val="1D8A566B"/>
    <w:rsid w:val="1DA069C5"/>
    <w:rsid w:val="1DA273D7"/>
    <w:rsid w:val="1E5024D5"/>
    <w:rsid w:val="1F7E6F8B"/>
    <w:rsid w:val="1F8B45B3"/>
    <w:rsid w:val="1FDC18E8"/>
    <w:rsid w:val="20EA28C1"/>
    <w:rsid w:val="21330894"/>
    <w:rsid w:val="2145746D"/>
    <w:rsid w:val="21891D14"/>
    <w:rsid w:val="21F50AEE"/>
    <w:rsid w:val="22F54C51"/>
    <w:rsid w:val="237D61F8"/>
    <w:rsid w:val="23C37AA8"/>
    <w:rsid w:val="23D44ECE"/>
    <w:rsid w:val="23D60A1B"/>
    <w:rsid w:val="24665B83"/>
    <w:rsid w:val="248D2A75"/>
    <w:rsid w:val="249A58FC"/>
    <w:rsid w:val="24FF7979"/>
    <w:rsid w:val="25743D92"/>
    <w:rsid w:val="25F80EA8"/>
    <w:rsid w:val="25FD0B10"/>
    <w:rsid w:val="261F60CC"/>
    <w:rsid w:val="264A3718"/>
    <w:rsid w:val="2652017F"/>
    <w:rsid w:val="26623BC7"/>
    <w:rsid w:val="268A73CB"/>
    <w:rsid w:val="26AC4AD8"/>
    <w:rsid w:val="27186304"/>
    <w:rsid w:val="27292A25"/>
    <w:rsid w:val="27482977"/>
    <w:rsid w:val="27715F83"/>
    <w:rsid w:val="27A97F89"/>
    <w:rsid w:val="2814210A"/>
    <w:rsid w:val="297D4508"/>
    <w:rsid w:val="29B20D94"/>
    <w:rsid w:val="29BF5A14"/>
    <w:rsid w:val="29FD78BF"/>
    <w:rsid w:val="2A0E705F"/>
    <w:rsid w:val="2A11334B"/>
    <w:rsid w:val="2A2C5B86"/>
    <w:rsid w:val="2A5C0536"/>
    <w:rsid w:val="2A6430C1"/>
    <w:rsid w:val="2A813B4D"/>
    <w:rsid w:val="2AD70FC8"/>
    <w:rsid w:val="2AFE650C"/>
    <w:rsid w:val="2B5601DD"/>
    <w:rsid w:val="2BC72211"/>
    <w:rsid w:val="2CC341A5"/>
    <w:rsid w:val="2DB37BFE"/>
    <w:rsid w:val="2E5008BF"/>
    <w:rsid w:val="2F3E4EF0"/>
    <w:rsid w:val="2F7859F7"/>
    <w:rsid w:val="2F87730F"/>
    <w:rsid w:val="2F913616"/>
    <w:rsid w:val="30081F87"/>
    <w:rsid w:val="306739AD"/>
    <w:rsid w:val="30B9564C"/>
    <w:rsid w:val="30BF1677"/>
    <w:rsid w:val="30D77CBD"/>
    <w:rsid w:val="31531A35"/>
    <w:rsid w:val="3172595E"/>
    <w:rsid w:val="317D28F5"/>
    <w:rsid w:val="31C1036E"/>
    <w:rsid w:val="321F2ECB"/>
    <w:rsid w:val="32AE61DE"/>
    <w:rsid w:val="32C50E42"/>
    <w:rsid w:val="33E6607D"/>
    <w:rsid w:val="34890FB5"/>
    <w:rsid w:val="34956C9C"/>
    <w:rsid w:val="34C1069E"/>
    <w:rsid w:val="35675856"/>
    <w:rsid w:val="35B2156F"/>
    <w:rsid w:val="35D13C31"/>
    <w:rsid w:val="35DE447B"/>
    <w:rsid w:val="36FA6A66"/>
    <w:rsid w:val="378C6F95"/>
    <w:rsid w:val="38E32AE0"/>
    <w:rsid w:val="39100900"/>
    <w:rsid w:val="39182A48"/>
    <w:rsid w:val="3924643E"/>
    <w:rsid w:val="3A3F3D49"/>
    <w:rsid w:val="3A477845"/>
    <w:rsid w:val="3A5E5070"/>
    <w:rsid w:val="3B1337B1"/>
    <w:rsid w:val="3B51333D"/>
    <w:rsid w:val="3C1740D8"/>
    <w:rsid w:val="3C416426"/>
    <w:rsid w:val="3CAF30B8"/>
    <w:rsid w:val="3D1314D9"/>
    <w:rsid w:val="3D1933C7"/>
    <w:rsid w:val="3D5164E6"/>
    <w:rsid w:val="3D9A73DA"/>
    <w:rsid w:val="3DAC37DE"/>
    <w:rsid w:val="3E797E64"/>
    <w:rsid w:val="3E8B50FA"/>
    <w:rsid w:val="3F4D2999"/>
    <w:rsid w:val="3F79698F"/>
    <w:rsid w:val="3FA818AF"/>
    <w:rsid w:val="3FB2386B"/>
    <w:rsid w:val="3FC73968"/>
    <w:rsid w:val="3FD43B75"/>
    <w:rsid w:val="3FFB5939"/>
    <w:rsid w:val="405F0CE8"/>
    <w:rsid w:val="409551A7"/>
    <w:rsid w:val="40A10CFF"/>
    <w:rsid w:val="42053BF7"/>
    <w:rsid w:val="422D0A9C"/>
    <w:rsid w:val="429D784F"/>
    <w:rsid w:val="42CD1840"/>
    <w:rsid w:val="42F04191"/>
    <w:rsid w:val="42FC6CC2"/>
    <w:rsid w:val="43354C4C"/>
    <w:rsid w:val="438C3431"/>
    <w:rsid w:val="43AE2212"/>
    <w:rsid w:val="43B80A39"/>
    <w:rsid w:val="43E84E59"/>
    <w:rsid w:val="44437B12"/>
    <w:rsid w:val="452B3D97"/>
    <w:rsid w:val="453A60CF"/>
    <w:rsid w:val="454A36FF"/>
    <w:rsid w:val="4570135A"/>
    <w:rsid w:val="457C5D15"/>
    <w:rsid w:val="459160F3"/>
    <w:rsid w:val="46F166E8"/>
    <w:rsid w:val="46F33CE5"/>
    <w:rsid w:val="470A51CC"/>
    <w:rsid w:val="474B47E6"/>
    <w:rsid w:val="47C317CE"/>
    <w:rsid w:val="47F93B34"/>
    <w:rsid w:val="48704442"/>
    <w:rsid w:val="489B75E6"/>
    <w:rsid w:val="48D93EAD"/>
    <w:rsid w:val="48FB1104"/>
    <w:rsid w:val="49502DF7"/>
    <w:rsid w:val="499D34CA"/>
    <w:rsid w:val="49A834D9"/>
    <w:rsid w:val="49DF628C"/>
    <w:rsid w:val="4A090F4A"/>
    <w:rsid w:val="4C2B6853"/>
    <w:rsid w:val="4C6A4CCF"/>
    <w:rsid w:val="4CA0504E"/>
    <w:rsid w:val="4CAA418B"/>
    <w:rsid w:val="4CF92578"/>
    <w:rsid w:val="4E270B50"/>
    <w:rsid w:val="4E503429"/>
    <w:rsid w:val="4ED35010"/>
    <w:rsid w:val="4ED40323"/>
    <w:rsid w:val="4F117163"/>
    <w:rsid w:val="4F3025E2"/>
    <w:rsid w:val="4F80519A"/>
    <w:rsid w:val="50566654"/>
    <w:rsid w:val="50BE2998"/>
    <w:rsid w:val="513871A1"/>
    <w:rsid w:val="51517676"/>
    <w:rsid w:val="51892BE1"/>
    <w:rsid w:val="51B216ED"/>
    <w:rsid w:val="51CD78E4"/>
    <w:rsid w:val="520714C5"/>
    <w:rsid w:val="521F03D0"/>
    <w:rsid w:val="52830E9F"/>
    <w:rsid w:val="52851CD9"/>
    <w:rsid w:val="52DF678B"/>
    <w:rsid w:val="52E150A8"/>
    <w:rsid w:val="53D65646"/>
    <w:rsid w:val="540A6F60"/>
    <w:rsid w:val="543C1500"/>
    <w:rsid w:val="544A4999"/>
    <w:rsid w:val="552F0A36"/>
    <w:rsid w:val="564B37A7"/>
    <w:rsid w:val="56C77481"/>
    <w:rsid w:val="57472D74"/>
    <w:rsid w:val="574C5359"/>
    <w:rsid w:val="575A1310"/>
    <w:rsid w:val="57BD1A53"/>
    <w:rsid w:val="57CF3A9B"/>
    <w:rsid w:val="57F54753"/>
    <w:rsid w:val="580D1C14"/>
    <w:rsid w:val="58A63098"/>
    <w:rsid w:val="58AB4FDF"/>
    <w:rsid w:val="58B67349"/>
    <w:rsid w:val="591F4EFC"/>
    <w:rsid w:val="59522383"/>
    <w:rsid w:val="59FD6F3E"/>
    <w:rsid w:val="5A3A0BE7"/>
    <w:rsid w:val="5A746198"/>
    <w:rsid w:val="5B2A26A2"/>
    <w:rsid w:val="5B775B0B"/>
    <w:rsid w:val="5BAF41E6"/>
    <w:rsid w:val="5BC26356"/>
    <w:rsid w:val="5CAD0287"/>
    <w:rsid w:val="5CCF5743"/>
    <w:rsid w:val="5D250B74"/>
    <w:rsid w:val="5DB3034D"/>
    <w:rsid w:val="5DEC6AEA"/>
    <w:rsid w:val="5E383518"/>
    <w:rsid w:val="5EA46C11"/>
    <w:rsid w:val="607F14BA"/>
    <w:rsid w:val="609E2200"/>
    <w:rsid w:val="60B978E1"/>
    <w:rsid w:val="614D6E06"/>
    <w:rsid w:val="61F25F3C"/>
    <w:rsid w:val="62322DF9"/>
    <w:rsid w:val="625E0F24"/>
    <w:rsid w:val="62914BB0"/>
    <w:rsid w:val="631D793C"/>
    <w:rsid w:val="63497147"/>
    <w:rsid w:val="636712A1"/>
    <w:rsid w:val="64957834"/>
    <w:rsid w:val="64BE5303"/>
    <w:rsid w:val="651102DC"/>
    <w:rsid w:val="659C79B0"/>
    <w:rsid w:val="660F7B55"/>
    <w:rsid w:val="666C33A4"/>
    <w:rsid w:val="66867C10"/>
    <w:rsid w:val="6726322E"/>
    <w:rsid w:val="673677EB"/>
    <w:rsid w:val="6777098B"/>
    <w:rsid w:val="67BF3CC1"/>
    <w:rsid w:val="680369D2"/>
    <w:rsid w:val="68AF1FCE"/>
    <w:rsid w:val="69505D49"/>
    <w:rsid w:val="69560648"/>
    <w:rsid w:val="695F0DD2"/>
    <w:rsid w:val="6A401B74"/>
    <w:rsid w:val="6AB010A6"/>
    <w:rsid w:val="6AC579CF"/>
    <w:rsid w:val="6B352F93"/>
    <w:rsid w:val="6B364600"/>
    <w:rsid w:val="6BC954CA"/>
    <w:rsid w:val="6BDC3089"/>
    <w:rsid w:val="6C265521"/>
    <w:rsid w:val="6C60723F"/>
    <w:rsid w:val="6C9124A9"/>
    <w:rsid w:val="6D382992"/>
    <w:rsid w:val="6D496D67"/>
    <w:rsid w:val="6D6D757A"/>
    <w:rsid w:val="6D861D41"/>
    <w:rsid w:val="6E100793"/>
    <w:rsid w:val="6EC323F7"/>
    <w:rsid w:val="6EC36017"/>
    <w:rsid w:val="6ED609CB"/>
    <w:rsid w:val="6F076617"/>
    <w:rsid w:val="6F7C7049"/>
    <w:rsid w:val="6F8F2670"/>
    <w:rsid w:val="6FF8698C"/>
    <w:rsid w:val="700B5E4F"/>
    <w:rsid w:val="702B4472"/>
    <w:rsid w:val="70662B33"/>
    <w:rsid w:val="70E42A23"/>
    <w:rsid w:val="71BA05F1"/>
    <w:rsid w:val="71BE3B0E"/>
    <w:rsid w:val="71F92D98"/>
    <w:rsid w:val="73273E6B"/>
    <w:rsid w:val="73454322"/>
    <w:rsid w:val="735A62D6"/>
    <w:rsid w:val="735E03D4"/>
    <w:rsid w:val="73B63D61"/>
    <w:rsid w:val="73C05746"/>
    <w:rsid w:val="741F7464"/>
    <w:rsid w:val="748320D5"/>
    <w:rsid w:val="75257BCB"/>
    <w:rsid w:val="75761C23"/>
    <w:rsid w:val="75E866E9"/>
    <w:rsid w:val="75F37B34"/>
    <w:rsid w:val="761A7D48"/>
    <w:rsid w:val="761C2ACE"/>
    <w:rsid w:val="767E66FF"/>
    <w:rsid w:val="773602B4"/>
    <w:rsid w:val="775F2811"/>
    <w:rsid w:val="77757A51"/>
    <w:rsid w:val="77A75781"/>
    <w:rsid w:val="77B04E59"/>
    <w:rsid w:val="7827630F"/>
    <w:rsid w:val="7864797F"/>
    <w:rsid w:val="78723077"/>
    <w:rsid w:val="788369D4"/>
    <w:rsid w:val="788C5BE3"/>
    <w:rsid w:val="79202346"/>
    <w:rsid w:val="793458ED"/>
    <w:rsid w:val="794C1845"/>
    <w:rsid w:val="795C0B4A"/>
    <w:rsid w:val="7A3A21BB"/>
    <w:rsid w:val="7A677945"/>
    <w:rsid w:val="7A805301"/>
    <w:rsid w:val="7A973ABE"/>
    <w:rsid w:val="7AB25FA5"/>
    <w:rsid w:val="7AC10849"/>
    <w:rsid w:val="7B534F4B"/>
    <w:rsid w:val="7B683F3E"/>
    <w:rsid w:val="7BC20D24"/>
    <w:rsid w:val="7C27612D"/>
    <w:rsid w:val="7C567794"/>
    <w:rsid w:val="7CAF3CBB"/>
    <w:rsid w:val="7CBE628C"/>
    <w:rsid w:val="7CF622D5"/>
    <w:rsid w:val="7DAC51D3"/>
    <w:rsid w:val="7DB64AC8"/>
    <w:rsid w:val="7DBE6991"/>
    <w:rsid w:val="7E18246D"/>
    <w:rsid w:val="7EF00551"/>
    <w:rsid w:val="7F006B81"/>
    <w:rsid w:val="7F0A328A"/>
    <w:rsid w:val="7F6F7396"/>
    <w:rsid w:val="7FDC2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000000"/>
      <w:sz w:val="12"/>
      <w:szCs w:val="12"/>
      <w:u w:val="none"/>
    </w:rPr>
  </w:style>
  <w:style w:type="character" w:styleId="7">
    <w:name w:val="Hyperlink"/>
    <w:basedOn w:val="5"/>
    <w:qFormat/>
    <w:uiPriority w:val="0"/>
    <w:rPr>
      <w:color w:val="000000"/>
      <w:sz w:val="12"/>
      <w:szCs w:val="12"/>
      <w:u w:val="none"/>
    </w:rPr>
  </w:style>
  <w:style w:type="paragraph" w:customStyle="1" w:styleId="8">
    <w:name w:val="正文缩进 + 首行缩进:  2 字符"/>
    <w:basedOn w:val="1"/>
    <w:qFormat/>
    <w:uiPriority w:val="99"/>
    <w:pPr>
      <w:spacing w:line="560" w:lineRule="exact"/>
      <w:ind w:firstLine="640"/>
    </w:pPr>
    <w:rPr>
      <w:rFonts w:ascii="仿宋" w:hAnsi="仿宋" w:eastAsia="仿宋" w:cs="宋体"/>
      <w:sz w:val="32"/>
      <w:szCs w:val="20"/>
    </w:rPr>
  </w:style>
  <w:style w:type="character" w:customStyle="1" w:styleId="9">
    <w:name w:val="页眉 Char"/>
    <w:basedOn w:val="5"/>
    <w:link w:val="3"/>
    <w:uiPriority w:val="0"/>
    <w:rPr>
      <w:rFonts w:asciiTheme="minorHAnsi" w:hAnsiTheme="minorHAnsi" w:eastAsiaTheme="minorEastAsia" w:cstheme="minorBidi"/>
      <w:kern w:val="2"/>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3005</Characters>
  <Lines>25</Lines>
  <Paragraphs>7</Paragraphs>
  <TotalTime>537</TotalTime>
  <ScaleCrop>false</ScaleCrop>
  <LinksUpToDate>false</LinksUpToDate>
  <CharactersWithSpaces>3525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2019-03-09T05:42:00Z</dcterms:created>
  <dc:creator>Quina</dc:creator>
  <cp:lastModifiedBy>Administrator</cp:lastModifiedBy>
  <cp:lastPrinted>2019-03-11T07:01:00Z</cp:lastPrinted>
  <dcterms:modified xsi:type="dcterms:W3CDTF">2021-11-09T07:00:26Z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6269C9367A2648BC98EA5FD1ABB7278D</vt:lpwstr>
  </property>
</Properties>
</file>