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鄂州市疾病预防控制中心2021年部门预算</w:t>
      </w:r>
    </w:p>
    <w:p>
      <w:pPr>
        <w:spacing w:afterLines="100"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公开说明</w:t>
      </w:r>
    </w:p>
    <w:p>
      <w:pPr>
        <w:pStyle w:val="4"/>
        <w:shd w:val="clear" w:color="auto" w:fill="FFFFFF"/>
        <w:spacing w:before="0" w:beforeAutospacing="0" w:after="0" w:afterAutospacing="0"/>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鄂州市疾病预防控制中心是鄂州市卫生和计划生育委员会直属的全市疾病预防控制与公共卫生技术服务和管理的专业机构，属一类事业单位。中心现有事业编制104人，财政供养在职人员</w:t>
      </w:r>
      <w:r>
        <w:rPr>
          <w:rFonts w:hint="eastAsia" w:ascii="仿宋_GB2312" w:hAnsi="仿宋_GB2312" w:eastAsia="仿宋_GB2312" w:cs="仿宋_GB2312"/>
          <w:kern w:val="2"/>
          <w:sz w:val="32"/>
          <w:szCs w:val="32"/>
        </w:rPr>
        <w:t>80</w:t>
      </w:r>
      <w:r>
        <w:rPr>
          <w:rFonts w:ascii="仿宋_GB2312" w:hAnsi="仿宋_GB2312" w:eastAsia="仿宋_GB2312" w:cs="仿宋_GB2312"/>
          <w:kern w:val="2"/>
          <w:sz w:val="32"/>
          <w:szCs w:val="32"/>
        </w:rPr>
        <w:t>人，退休人员</w:t>
      </w:r>
      <w:r>
        <w:rPr>
          <w:rFonts w:hint="eastAsia" w:ascii="仿宋_GB2312" w:hAnsi="仿宋_GB2312" w:eastAsia="仿宋_GB2312" w:cs="仿宋_GB2312"/>
          <w:kern w:val="2"/>
          <w:sz w:val="32"/>
          <w:szCs w:val="32"/>
        </w:rPr>
        <w:t>73</w:t>
      </w:r>
      <w:r>
        <w:rPr>
          <w:rFonts w:ascii="仿宋_GB2312" w:hAnsi="仿宋_GB2312" w:eastAsia="仿宋_GB2312" w:cs="仿宋_GB2312"/>
          <w:kern w:val="2"/>
          <w:sz w:val="32"/>
          <w:szCs w:val="32"/>
        </w:rPr>
        <w:t>人。</w:t>
      </w:r>
      <w:r>
        <w:rPr>
          <w:rFonts w:ascii="仿宋_GB2312" w:hAnsi="仿宋_GB2312" w:eastAsia="仿宋_GB2312" w:cs="仿宋_GB2312"/>
          <w:kern w:val="2"/>
          <w:sz w:val="32"/>
          <w:szCs w:val="32"/>
        </w:rPr>
        <w:br w:type="textWrapping"/>
      </w:r>
      <w:r>
        <w:rPr>
          <w:rFonts w:ascii="仿宋_GB2312" w:hAnsi="仿宋_GB2312" w:eastAsia="仿宋_GB2312" w:cs="仿宋_GB2312"/>
          <w:kern w:val="2"/>
          <w:sz w:val="32"/>
          <w:szCs w:val="32"/>
        </w:rPr>
        <w:t>  一、基本职责</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根据卫生部关于印发《各级疾病预防控制中心基本职责》和《疾病预防控制工作绩效评估标准》的通知（卫疾控发[2008]68号）文件规定，其基本职责是：</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（一）疾病预防与控制</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（二）突发公共卫生事件应急处置</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开展突发公共卫生事件处置和救灾防病的应急准备；对突发公共卫生事件、灾后疫病进行监测报告，提供预测预警信息；开展现场调查处置和效果评估。</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（三）疫情及健康相关因素信息管理</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管理疾病预防控制信息系统，收集、报告、分析和评价疾病与健康危害因素等公共卫生信息，为疾病预防控制决策提供依据，为社会和公众提供信息服务。</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（四）健康危害因素监测与干预</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开展食源性、职业性、辐射性、环境性疾病监测、调查处置 和公众营养监测与评价；对生产、生活、工作、学习环境中影响人群健康的危害因素进行监测与评价，提出干预策略与措施，预防控制相关因素对人体健康的危害。</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（五）实验室检测检验与评价</w:t>
      </w:r>
    </w:p>
    <w:p>
      <w:pPr>
        <w:pStyle w:val="4"/>
        <w:shd w:val="clear" w:color="auto" w:fill="FFFFFF"/>
        <w:spacing w:before="0" w:beforeAutospacing="0" w:after="150" w:afterAutospacing="0"/>
        <w:ind w:firstLine="672" w:firstLineChars="21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研究、应用实验室检测与分析技术，开展传染性疾病病原微生物的检测检验，开展中毒事件的毒物分析，开展疾病和健康危害因素的生物、物理、化学因子的检测、鉴定和评价，为突发公共卫生事件的应急处置、传染性疾病的诊断、疾病和健康相关危害因素的预防控制及卫生监督执法等提供技术支撑，为社会提供技术服务。</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（六）健康教育与健康促进</w:t>
      </w:r>
    </w:p>
    <w:p>
      <w:pPr>
        <w:pStyle w:val="4"/>
        <w:shd w:val="clear" w:color="auto" w:fill="FFFFFF"/>
        <w:spacing w:before="0" w:beforeAutospacing="0" w:after="150" w:afterAutospacing="0"/>
        <w:ind w:firstLine="502" w:firstLineChars="157"/>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开展健康教育、健康促进；普及卫生防病知识，对公众进行 健康指导；协同有关部门和组织，对公众不良健康行为进行干预，促进公众掌握自我保健与防护技能。</w:t>
      </w:r>
    </w:p>
    <w:p>
      <w:pPr>
        <w:pStyle w:val="4"/>
        <w:shd w:val="clear" w:color="auto" w:fill="FFFFFF"/>
        <w:spacing w:before="0" w:beforeAutospacing="0" w:after="150" w:afterAutospacing="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（七）技术管理与应用研究指导</w:t>
      </w:r>
    </w:p>
    <w:p>
      <w:pPr>
        <w:pStyle w:val="4"/>
        <w:shd w:val="clear" w:color="auto" w:fill="FFFFFF"/>
        <w:spacing w:before="0" w:beforeAutospacing="0" w:after="150" w:afterAutospacing="0"/>
        <w:ind w:firstLine="502" w:firstLineChars="157"/>
        <w:rPr>
          <w:rFonts w:ascii="Helvetica" w:hAnsi="Helvetica"/>
          <w:color w:val="333333"/>
          <w:sz w:val="27"/>
          <w:szCs w:val="27"/>
        </w:rPr>
      </w:pPr>
      <w:r>
        <w:rPr>
          <w:rFonts w:ascii="仿宋_GB2312" w:hAnsi="仿宋_GB2312" w:eastAsia="仿宋_GB2312" w:cs="仿宋_GB2312"/>
          <w:kern w:val="2"/>
          <w:sz w:val="32"/>
          <w:szCs w:val="32"/>
        </w:rPr>
        <w:t> 开展疾病预防控制工作业务与技术培训，提供技术指导、 技术支持和技术服务；开展应用性研究，开发引进和推广应用新技术、新方法；指导和开展疾病预防控制工作绩效考核与评估</w:t>
      </w:r>
      <w:r>
        <w:rPr>
          <w:rFonts w:ascii="Helvetica" w:hAnsi="Helvetica"/>
          <w:color w:val="333333"/>
          <w:sz w:val="27"/>
          <w:szCs w:val="27"/>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二、部门收支预算总体安排情况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（一）2021年上年结转5080.85万元。其中P2实验室建设经费4000万元，重大公卫卫生服务补助资金651.91万元，全民核酸检测经费428.94万元。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（二）2021年收入6528.96万元。其中经费拨款1425.96万元，专项收入5000万元，行政事业性收费收入103万元。</w:t>
      </w:r>
    </w:p>
    <w:p>
      <w:pPr>
        <w:ind w:firstLine="585" w:firstLineChars="183"/>
        <w:rPr>
          <w:rFonts w:ascii="宋体" w:hAnsi="宋体" w:eastAsia="宋体" w:cs="宋体"/>
          <w:kern w:val="0"/>
          <w:sz w:val="18"/>
          <w:szCs w:val="18"/>
        </w:rPr>
      </w:pPr>
      <w:r>
        <w:rPr>
          <w:rFonts w:hint="eastAsia" w:ascii="仿宋_GB2312" w:hAnsi="仿宋_GB2312" w:eastAsia="仿宋_GB2312" w:cs="仿宋_GB2312"/>
          <w:sz w:val="32"/>
          <w:szCs w:val="32"/>
        </w:rPr>
        <w:t>（三）2021年部门预算总支出11609.81万元。其中：基本支出1182.96</w:t>
      </w:r>
      <w:r>
        <w:rPr>
          <w:rFonts w:hint="eastAsia" w:ascii="宋体" w:hAnsi="宋体" w:eastAsia="宋体" w:cs="宋体"/>
          <w:kern w:val="0"/>
          <w:sz w:val="18"/>
          <w:szCs w:val="18"/>
        </w:rPr>
        <w:t xml:space="preserve"> </w:t>
      </w:r>
      <w:r>
        <w:rPr>
          <w:rFonts w:hint="eastAsia" w:ascii="仿宋_GB2312" w:hAnsi="仿宋_GB2312" w:eastAsia="仿宋_GB2312" w:cs="仿宋_GB2312"/>
          <w:sz w:val="32"/>
          <w:szCs w:val="32"/>
        </w:rPr>
        <w:t>万元，项目支出10426.85万元。比2020年预算增加7975.85万元，主要原因：中心运行经费增加，实验室建设支出。</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按照支出功能分类科目，主要用于：</w:t>
      </w:r>
      <w:r>
        <w:rPr>
          <w:rFonts w:ascii="仿宋_GB2312" w:hAnsi="仿宋_GB2312" w:eastAsia="仿宋_GB2312" w:cs="仿宋_GB2312"/>
          <w:sz w:val="32"/>
          <w:szCs w:val="32"/>
        </w:rPr>
        <w:t>教育支出</w:t>
      </w:r>
      <w:r>
        <w:rPr>
          <w:rFonts w:hint="eastAsia" w:ascii="仿宋_GB2312" w:hAnsi="仿宋_GB2312" w:eastAsia="仿宋_GB2312" w:cs="仿宋_GB2312"/>
          <w:sz w:val="32"/>
          <w:szCs w:val="32"/>
        </w:rPr>
        <w:t>8.12</w:t>
      </w:r>
      <w:r>
        <w:rPr>
          <w:rFonts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rPr>
        <w:t>107.63</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卫生健康</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7413.60</w:t>
      </w:r>
      <w:r>
        <w:rPr>
          <w:rFonts w:ascii="仿宋_GB2312" w:hAnsi="仿宋_GB2312" w:eastAsia="仿宋_GB2312" w:cs="仿宋_GB2312"/>
          <w:sz w:val="32"/>
          <w:szCs w:val="32"/>
        </w:rPr>
        <w:t>万元，住房保障支出</w:t>
      </w:r>
      <w:r>
        <w:rPr>
          <w:rFonts w:hint="eastAsia" w:ascii="仿宋_GB2312" w:hAnsi="仿宋_GB2312" w:eastAsia="仿宋_GB2312" w:cs="仿宋_GB2312"/>
          <w:sz w:val="32"/>
          <w:szCs w:val="32"/>
        </w:rPr>
        <w:t>80.46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抗疫</w:t>
      </w:r>
      <w:bookmarkStart w:id="0" w:name="_GoBack"/>
      <w:bookmarkEnd w:id="0"/>
      <w:r>
        <w:rPr>
          <w:rFonts w:hint="eastAsia" w:ascii="仿宋_GB2312" w:hAnsi="仿宋_GB2312" w:eastAsia="仿宋_GB2312" w:cs="仿宋_GB2312"/>
          <w:sz w:val="32"/>
          <w:szCs w:val="32"/>
        </w:rPr>
        <w:t>特别国债安排支出4000万元</w:t>
      </w:r>
      <w:r>
        <w:rPr>
          <w:rFonts w:ascii="仿宋_GB2312" w:hAnsi="仿宋_GB2312" w:eastAsia="仿宋_GB2312" w:cs="仿宋_GB2312"/>
          <w:sz w:val="32"/>
          <w:szCs w:val="32"/>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按照支出经济分类科目，主要用于：工资福利支出1024.36 万元，商品和服务支出6406.14万元，对个人和家庭的补助73.21万元，资本性支出（基本建设）4000万元，资本性支出106.10万元。</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三、一般公共预算财政拨款支出预算情况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2021年一般公共预算财政拨款支出预算11609.81万元，其中：当年预算11609.81万元。主要安排情况如下：</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（一）基本支出1182.96万元。其中：</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1.人员经费1026.07万元，包括：（1）工资福利支出1024.36万元，主要用于</w:t>
      </w:r>
      <w:r>
        <w:rPr>
          <w:rFonts w:ascii="仿宋_GB2312" w:hAnsi="仿宋_GB2312" w:eastAsia="仿宋_GB2312" w:cs="仿宋_GB2312"/>
          <w:sz w:val="32"/>
          <w:szCs w:val="32"/>
        </w:rPr>
        <w:t>人员基本保障支出</w:t>
      </w:r>
      <w:r>
        <w:rPr>
          <w:rFonts w:hint="eastAsia" w:ascii="仿宋_GB2312" w:hAnsi="仿宋_GB2312" w:eastAsia="仿宋_GB2312" w:cs="仿宋_GB2312"/>
          <w:sz w:val="32"/>
          <w:szCs w:val="32"/>
        </w:rPr>
        <w:t>。（2）对个人和家庭的补助支出1.71万元，主要用于抚恤金支付。</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2.公用经费156.89万元，包括：</w:t>
      </w:r>
      <w:r>
        <w:rPr>
          <w:rFonts w:ascii="仿宋_GB2312" w:hAnsi="仿宋_GB2312" w:eastAsia="仿宋_GB2312" w:cs="仿宋_GB2312"/>
          <w:sz w:val="32"/>
          <w:szCs w:val="32"/>
        </w:rPr>
        <w:t>一般公用支出</w:t>
      </w:r>
      <w:r>
        <w:rPr>
          <w:rFonts w:hint="eastAsia" w:ascii="仿宋_GB2312" w:hAnsi="仿宋_GB2312" w:eastAsia="仿宋_GB2312" w:cs="仿宋_GB2312"/>
          <w:sz w:val="32"/>
          <w:szCs w:val="32"/>
        </w:rPr>
        <w:t>76.93</w:t>
      </w:r>
      <w:r>
        <w:rPr>
          <w:rFonts w:ascii="仿宋_GB2312" w:hAnsi="仿宋_GB2312" w:eastAsia="仿宋_GB2312" w:cs="仿宋_GB2312"/>
          <w:sz w:val="32"/>
          <w:szCs w:val="32"/>
        </w:rPr>
        <w:t>万元，福利费</w:t>
      </w:r>
      <w:r>
        <w:rPr>
          <w:rFonts w:hint="eastAsia" w:ascii="仿宋_GB2312" w:hAnsi="仿宋_GB2312" w:eastAsia="仿宋_GB2312" w:cs="仿宋_GB2312"/>
          <w:sz w:val="32"/>
          <w:szCs w:val="32"/>
        </w:rPr>
        <w:t>16.76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其他福利费34.08万元，</w:t>
      </w:r>
      <w:r>
        <w:rPr>
          <w:rFonts w:ascii="仿宋_GB2312" w:hAnsi="仿宋_GB2312" w:eastAsia="仿宋_GB2312" w:cs="仿宋_GB2312"/>
          <w:sz w:val="32"/>
          <w:szCs w:val="32"/>
        </w:rPr>
        <w:t>购置费</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万元， 干部教育</w:t>
      </w:r>
      <w:r>
        <w:rPr>
          <w:rFonts w:hint="eastAsia" w:ascii="仿宋_GB2312" w:hAnsi="仿宋_GB2312" w:eastAsia="仿宋_GB2312" w:cs="仿宋_GB2312"/>
          <w:sz w:val="32"/>
          <w:szCs w:val="32"/>
        </w:rPr>
        <w:t>8.12</w:t>
      </w:r>
      <w:r>
        <w:rPr>
          <w:rFonts w:ascii="仿宋_GB2312" w:hAnsi="仿宋_GB2312" w:eastAsia="仿宋_GB2312" w:cs="仿宋_GB2312"/>
          <w:sz w:val="32"/>
          <w:szCs w:val="32"/>
        </w:rPr>
        <w:t>万元，主要用于日常办公保障支出。</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（二）项目支出10426.85万元。主要安排为：</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Helvetica" w:hAnsi="Helvetica"/>
          <w:color w:val="333333"/>
          <w:sz w:val="27"/>
          <w:szCs w:val="27"/>
          <w:shd w:val="clear" w:color="auto" w:fill="FFFFFF"/>
        </w:rPr>
        <w:t xml:space="preserve"> </w:t>
      </w:r>
      <w:r>
        <w:rPr>
          <w:rFonts w:ascii="仿宋_GB2312" w:hAnsi="仿宋_GB2312" w:eastAsia="仿宋_GB2312" w:cs="仿宋_GB2312"/>
          <w:sz w:val="32"/>
          <w:szCs w:val="32"/>
        </w:rPr>
        <w:t>市级疾控中心运行经费</w:t>
      </w:r>
      <w:r>
        <w:rPr>
          <w:rFonts w:hint="eastAsia" w:ascii="仿宋_GB2312" w:hAnsi="仿宋_GB2312" w:eastAsia="仿宋_GB2312" w:cs="仿宋_GB2312"/>
          <w:sz w:val="32"/>
          <w:szCs w:val="32"/>
        </w:rPr>
        <w:t>5000万元，主要用于</w:t>
      </w:r>
      <w:r>
        <w:rPr>
          <w:rFonts w:ascii="仿宋_GB2312" w:hAnsi="仿宋_GB2312" w:eastAsia="仿宋_GB2312" w:cs="仿宋_GB2312"/>
          <w:sz w:val="32"/>
          <w:szCs w:val="32"/>
        </w:rPr>
        <w:t>主要是非税收入返还用于保障疾病预防控制机构正常运行。</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城镇供水卫生监督监测102万元，主要用于主城区全年每日开展生活饮用水日常水质监测。</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艾滋病和结核病防治</w:t>
      </w:r>
      <w:r>
        <w:rPr>
          <w:rFonts w:hint="eastAsia" w:ascii="仿宋_GB2312" w:hAnsi="仿宋_GB2312" w:eastAsia="仿宋_GB2312" w:cs="仿宋_GB2312"/>
          <w:sz w:val="32"/>
          <w:szCs w:val="32"/>
        </w:rPr>
        <w:t>103万元，主要用于</w:t>
      </w:r>
      <w:r>
        <w:rPr>
          <w:rFonts w:ascii="仿宋_GB2312" w:hAnsi="仿宋_GB2312" w:eastAsia="仿宋_GB2312" w:cs="仿宋_GB2312"/>
          <w:sz w:val="32"/>
          <w:szCs w:val="32"/>
        </w:rPr>
        <w:t>艾滋病防治工作经费和病人生活救助金及结核病防治工作经费和耐多药患者筛查</w:t>
      </w:r>
      <w:r>
        <w:rPr>
          <w:rFonts w:hint="eastAsia" w:ascii="仿宋_GB2312" w:hAnsi="仿宋_GB2312" w:eastAsia="仿宋_GB2312" w:cs="仿宋_GB2312"/>
          <w:sz w:val="32"/>
          <w:szCs w:val="32"/>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从业人员预防性健康体检</w:t>
      </w:r>
      <w:r>
        <w:rPr>
          <w:rFonts w:hint="eastAsia" w:ascii="仿宋_GB2312" w:hAnsi="仿宋_GB2312" w:eastAsia="仿宋_GB2312" w:cs="仿宋_GB2312"/>
          <w:sz w:val="32"/>
          <w:szCs w:val="32"/>
        </w:rPr>
        <w:t>141</w:t>
      </w:r>
      <w:r>
        <w:rPr>
          <w:rFonts w:ascii="仿宋_GB2312" w:hAnsi="仿宋_GB2312" w:eastAsia="仿宋_GB2312" w:cs="仿宋_GB2312"/>
          <w:sz w:val="32"/>
          <w:szCs w:val="32"/>
        </w:rPr>
        <w:t>万元，主要用于保障免费从业人员预防性健康体检工作经费</w:t>
      </w:r>
      <w:r>
        <w:rPr>
          <w:rFonts w:hint="eastAsia" w:ascii="仿宋_GB2312" w:hAnsi="仿宋_GB2312" w:eastAsia="仿宋_GB2312" w:cs="仿宋_GB2312"/>
          <w:sz w:val="32"/>
          <w:szCs w:val="32"/>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rPr>
        <w:t xml:space="preserve"> </w:t>
      </w:r>
      <w:r>
        <w:rPr>
          <w:rFonts w:hint="eastAsia" w:ascii="仿宋_GB2312" w:hAnsi="仿宋_GB2312" w:eastAsia="仿宋_GB2312" w:cs="仿宋_GB2312"/>
          <w:sz w:val="32"/>
          <w:szCs w:val="32"/>
        </w:rPr>
        <w:t>P2实验室建设4000万元，主要用于P2实验楼改造。</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6.全民核酸检测经费428.94万元，主要用于新冠肺炎疫情防控核酸检测。</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7.重大公卫卫生服务补助资金651.91万元。</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四、一般公共预算“三公”经费支出预算情况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2021年1.66万元，与2020年预算持平。</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部门机关运行经费156.89万元。主要包括：办公费9.64万元、水电费10万元、邮电费2万元、差旅费8万元、日常维修费7万元、会议费2万元、培训费11.12万元、公务接待费1.66万元、工会经费13.41万元、福利费16.76万元、其他费用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按照现行政府采购管理规定，2021年部门预算中纳入政府采购预算支出合计5233.96万元。包括：</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1.货物类5164.96万元。其中：二类疫苗成本5000万元；</w:t>
      </w:r>
      <w:r>
        <w:rPr>
          <w:rFonts w:ascii="仿宋_GB2312" w:hAnsi="仿宋_GB2312" w:eastAsia="仿宋_GB2312" w:cs="仿宋_GB2312"/>
          <w:sz w:val="32"/>
          <w:szCs w:val="32"/>
        </w:rPr>
        <w:t>检验试剂耗材</w:t>
      </w:r>
      <w:r>
        <w:rPr>
          <w:rFonts w:hint="eastAsia" w:ascii="仿宋_GB2312" w:hAnsi="仿宋_GB2312" w:eastAsia="仿宋_GB2312" w:cs="仿宋_GB2312"/>
          <w:sz w:val="32"/>
          <w:szCs w:val="32"/>
        </w:rPr>
        <w:t>54.66万元；专用设备购置77.30万元；办公设备购置16.20</w:t>
      </w:r>
      <w:r>
        <w:rPr>
          <w:rFonts w:ascii="仿宋_GB2312" w:hAnsi="仿宋_GB2312" w:eastAsia="仿宋_GB2312" w:cs="仿宋_GB2312"/>
          <w:sz w:val="32"/>
          <w:szCs w:val="32"/>
        </w:rPr>
        <w:t>万元等</w:t>
      </w:r>
      <w:r>
        <w:rPr>
          <w:rFonts w:hint="eastAsia" w:ascii="仿宋_GB2312" w:hAnsi="仿宋_GB2312" w:eastAsia="仿宋_GB2312" w:cs="仿宋_GB2312"/>
          <w:sz w:val="32"/>
          <w:szCs w:val="32"/>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2.服务类69万元。其中：临检外包项目60万元；社会组织服务9万元。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单位国有资产总额</w:t>
      </w:r>
      <w:r>
        <w:rPr>
          <w:rFonts w:hint="eastAsia" w:ascii="仿宋_GB2312" w:hAnsi="仿宋_GB2312" w:eastAsia="仿宋_GB2312" w:cs="仿宋_GB2312"/>
          <w:sz w:val="32"/>
          <w:szCs w:val="32"/>
        </w:rPr>
        <w:t>5548.15</w:t>
      </w:r>
      <w:r>
        <w:rPr>
          <w:rFonts w:ascii="仿宋_GB2312" w:hAnsi="仿宋_GB2312" w:eastAsia="仿宋_GB2312" w:cs="仿宋_GB2312"/>
          <w:sz w:val="32"/>
          <w:szCs w:val="32"/>
        </w:rPr>
        <w:t>万元，其中：房屋2287.00万元、车辆1</w:t>
      </w:r>
      <w:r>
        <w:rPr>
          <w:rFonts w:hint="eastAsia" w:ascii="仿宋_GB2312" w:hAnsi="仿宋_GB2312" w:eastAsia="仿宋_GB2312" w:cs="仿宋_GB2312"/>
          <w:sz w:val="32"/>
          <w:szCs w:val="32"/>
        </w:rPr>
        <w:t>11.6</w:t>
      </w:r>
      <w:r>
        <w:rPr>
          <w:rFonts w:ascii="仿宋_GB2312" w:hAnsi="仿宋_GB2312" w:eastAsia="仿宋_GB2312" w:cs="仿宋_GB2312"/>
          <w:sz w:val="32"/>
          <w:szCs w:val="32"/>
        </w:rPr>
        <w:t>万元、专用设备</w:t>
      </w:r>
      <w:r>
        <w:rPr>
          <w:rFonts w:hint="eastAsia" w:ascii="仿宋_GB2312" w:hAnsi="仿宋_GB2312" w:eastAsia="仿宋_GB2312" w:cs="仿宋_GB2312"/>
          <w:sz w:val="32"/>
          <w:szCs w:val="32"/>
        </w:rPr>
        <w:t>2701.85</w:t>
      </w:r>
      <w:r>
        <w:rPr>
          <w:rFonts w:ascii="仿宋_GB2312" w:hAnsi="仿宋_GB2312" w:eastAsia="仿宋_GB2312" w:cs="仿宋_GB2312"/>
          <w:sz w:val="32"/>
          <w:szCs w:val="32"/>
        </w:rPr>
        <w:t>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（主要说明部门及单位房屋、车辆、专用设备情况）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2021年部门项目均实行绩效目标管理，涉及一般公共预算当年财政拨款5346万元。</w:t>
      </w:r>
    </w:p>
    <w:sectPr>
      <w:footerReference r:id="rId3" w:type="default"/>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439A"/>
    <w:rsid w:val="00074480"/>
    <w:rsid w:val="00173926"/>
    <w:rsid w:val="001862B2"/>
    <w:rsid w:val="001862FB"/>
    <w:rsid w:val="001C79EB"/>
    <w:rsid w:val="001F4247"/>
    <w:rsid w:val="001F75E0"/>
    <w:rsid w:val="00232E3A"/>
    <w:rsid w:val="002C7856"/>
    <w:rsid w:val="002E7C58"/>
    <w:rsid w:val="00323DA7"/>
    <w:rsid w:val="00387C2E"/>
    <w:rsid w:val="00395AEF"/>
    <w:rsid w:val="003F0197"/>
    <w:rsid w:val="00461667"/>
    <w:rsid w:val="00493628"/>
    <w:rsid w:val="00521D2A"/>
    <w:rsid w:val="00526912"/>
    <w:rsid w:val="005354E4"/>
    <w:rsid w:val="0054197F"/>
    <w:rsid w:val="005B20CF"/>
    <w:rsid w:val="005B5868"/>
    <w:rsid w:val="00827A73"/>
    <w:rsid w:val="008933CD"/>
    <w:rsid w:val="008C088F"/>
    <w:rsid w:val="00980806"/>
    <w:rsid w:val="009A5F38"/>
    <w:rsid w:val="009A6F65"/>
    <w:rsid w:val="009D0BB6"/>
    <w:rsid w:val="009F095F"/>
    <w:rsid w:val="00A0681D"/>
    <w:rsid w:val="00AD68D8"/>
    <w:rsid w:val="00B24067"/>
    <w:rsid w:val="00B9153D"/>
    <w:rsid w:val="00BE7A03"/>
    <w:rsid w:val="00C67D77"/>
    <w:rsid w:val="00C75BE6"/>
    <w:rsid w:val="00D66D4D"/>
    <w:rsid w:val="00D73025"/>
    <w:rsid w:val="00DC3AD7"/>
    <w:rsid w:val="00DC421A"/>
    <w:rsid w:val="00DD46E9"/>
    <w:rsid w:val="00E31E9A"/>
    <w:rsid w:val="00E451A0"/>
    <w:rsid w:val="00E52E64"/>
    <w:rsid w:val="00E544B3"/>
    <w:rsid w:val="00ED7970"/>
    <w:rsid w:val="00F4290E"/>
    <w:rsid w:val="00F6379E"/>
    <w:rsid w:val="00F6439A"/>
    <w:rsid w:val="00FE2D36"/>
    <w:rsid w:val="0690102F"/>
    <w:rsid w:val="196F3232"/>
    <w:rsid w:val="391B3FFF"/>
    <w:rsid w:val="490C3DEC"/>
    <w:rsid w:val="594362B3"/>
    <w:rsid w:val="6260533F"/>
    <w:rsid w:val="673D5AD3"/>
    <w:rsid w:val="6C823C2F"/>
    <w:rsid w:val="6E99785F"/>
    <w:rsid w:val="74877A15"/>
    <w:rsid w:val="798C2D01"/>
    <w:rsid w:val="7FFD9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2138</Characters>
  <Lines>17</Lines>
  <Paragraphs>5</Paragraphs>
  <TotalTime>208</TotalTime>
  <ScaleCrop>false</ScaleCrop>
  <LinksUpToDate>false</LinksUpToDate>
  <CharactersWithSpaces>2508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inspur</cp:lastModifiedBy>
  <dcterms:modified xsi:type="dcterms:W3CDTF">2023-11-16T17:53:29Z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